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left="0" w:leftChars="0" w:firstLine="0" w:firstLineChars="0"/>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eastAsia="zh-CN"/>
        </w:rPr>
        <w:t>南通市统计局2023-2024安全运维服务项目</w:t>
      </w:r>
    </w:p>
    <w:p>
      <w:pPr>
        <w:pStyle w:val="13"/>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jc w:val="center"/>
        <w:rPr>
          <w:rFonts w:hint="eastAsia" w:ascii="宋体" w:hAnsi="宋体" w:eastAsia="宋体" w:cs="宋体"/>
          <w:b/>
          <w:color w:val="auto"/>
          <w:spacing w:val="20"/>
          <w:sz w:val="48"/>
          <w:szCs w:val="48"/>
          <w:highlight w:val="none"/>
        </w:rPr>
      </w:pPr>
    </w:p>
    <w:p>
      <w:pPr>
        <w:spacing w:line="500" w:lineRule="exact"/>
        <w:jc w:val="center"/>
        <w:rPr>
          <w:rFonts w:hint="eastAsia" w:ascii="宋体" w:hAnsi="宋体" w:eastAsia="宋体" w:cs="宋体"/>
          <w:b/>
          <w:color w:val="auto"/>
          <w:spacing w:val="20"/>
          <w:sz w:val="48"/>
          <w:szCs w:val="48"/>
          <w:highlight w:val="none"/>
        </w:rPr>
      </w:pPr>
      <w:r>
        <w:rPr>
          <w:rFonts w:hint="eastAsia" w:ascii="宋体" w:hAnsi="宋体" w:eastAsia="宋体" w:cs="宋体"/>
          <w:b/>
          <w:color w:val="auto"/>
          <w:spacing w:val="20"/>
          <w:sz w:val="48"/>
          <w:szCs w:val="48"/>
          <w:highlight w:val="none"/>
        </w:rPr>
        <w:t>比选文件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36"/>
          <w:szCs w:val="36"/>
          <w:highlight w:val="none"/>
        </w:rPr>
        <w:t>采购文件编号：</w:t>
      </w:r>
      <w:r>
        <w:rPr>
          <w:rFonts w:hint="eastAsia" w:ascii="宋体" w:hAnsi="宋体" w:eastAsia="宋体" w:cs="宋体"/>
          <w:color w:val="auto"/>
          <w:sz w:val="36"/>
          <w:szCs w:val="36"/>
          <w:highlight w:val="none"/>
          <w:lang w:eastAsia="zh-CN"/>
        </w:rPr>
        <w:t>ZRNT20230731</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00" w:lineRule="exact"/>
        <w:jc w:val="center"/>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0"/>
          <w:szCs w:val="40"/>
          <w:highlight w:val="none"/>
        </w:rPr>
      </w:pPr>
    </w:p>
    <w:p>
      <w:pPr>
        <w:pStyle w:val="21"/>
        <w:rPr>
          <w:rFonts w:hint="eastAsia" w:ascii="宋体" w:hAnsi="宋体" w:eastAsia="宋体" w:cs="宋体"/>
          <w:b/>
          <w:bCs/>
          <w:color w:val="auto"/>
          <w:spacing w:val="20"/>
          <w:sz w:val="40"/>
          <w:szCs w:val="40"/>
          <w:highlight w:val="none"/>
        </w:rPr>
      </w:pPr>
    </w:p>
    <w:p>
      <w:pPr>
        <w:pStyle w:val="21"/>
        <w:rPr>
          <w:rFonts w:hint="eastAsia" w:ascii="宋体" w:hAnsi="宋体" w:eastAsia="宋体" w:cs="宋体"/>
          <w:b/>
          <w:bCs/>
          <w:color w:val="auto"/>
          <w:spacing w:val="20"/>
          <w:sz w:val="40"/>
          <w:szCs w:val="40"/>
          <w:highlight w:val="none"/>
        </w:rPr>
      </w:pPr>
    </w:p>
    <w:p>
      <w:pPr>
        <w:pStyle w:val="21"/>
        <w:rPr>
          <w:rFonts w:hint="eastAsia" w:ascii="宋体" w:hAnsi="宋体" w:eastAsia="宋体" w:cs="宋体"/>
          <w:b/>
          <w:bCs/>
          <w:color w:val="auto"/>
          <w:spacing w:val="20"/>
          <w:sz w:val="40"/>
          <w:szCs w:val="40"/>
          <w:highlight w:val="none"/>
        </w:rPr>
      </w:pPr>
    </w:p>
    <w:p>
      <w:pPr>
        <w:spacing w:line="500" w:lineRule="exact"/>
        <w:jc w:val="center"/>
        <w:rPr>
          <w:rFonts w:hint="eastAsia" w:ascii="宋体" w:hAnsi="宋体" w:eastAsia="宋体" w:cs="宋体"/>
          <w:b/>
          <w:bCs/>
          <w:color w:val="auto"/>
          <w:spacing w:val="20"/>
          <w:sz w:val="32"/>
          <w:szCs w:val="32"/>
          <w:highlight w:val="none"/>
          <w:lang w:eastAsia="zh-CN"/>
        </w:rPr>
      </w:pPr>
      <w:r>
        <w:rPr>
          <w:rFonts w:hint="eastAsia" w:ascii="宋体" w:hAnsi="宋体" w:eastAsia="宋体" w:cs="宋体"/>
          <w:b/>
          <w:bCs/>
          <w:color w:val="auto"/>
          <w:spacing w:val="20"/>
          <w:sz w:val="32"/>
          <w:szCs w:val="32"/>
          <w:highlight w:val="none"/>
        </w:rPr>
        <w:t>采购人：</w:t>
      </w:r>
      <w:r>
        <w:rPr>
          <w:rFonts w:hint="eastAsia" w:ascii="宋体" w:hAnsi="宋体" w:eastAsia="宋体" w:cs="宋体"/>
          <w:b/>
          <w:bCs/>
          <w:color w:val="auto"/>
          <w:spacing w:val="20"/>
          <w:sz w:val="32"/>
          <w:szCs w:val="32"/>
          <w:highlight w:val="none"/>
          <w:lang w:eastAsia="zh-CN"/>
        </w:rPr>
        <w:t>南通市统计局</w:t>
      </w:r>
    </w:p>
    <w:p>
      <w:pPr>
        <w:spacing w:line="5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二○二三年</w:t>
      </w:r>
      <w:r>
        <w:rPr>
          <w:rFonts w:hint="eastAsia" w:ascii="宋体" w:hAnsi="宋体" w:eastAsia="宋体" w:cs="宋体"/>
          <w:b/>
          <w:bCs/>
          <w:color w:val="auto"/>
          <w:spacing w:val="20"/>
          <w:sz w:val="32"/>
          <w:szCs w:val="32"/>
          <w:highlight w:val="none"/>
          <w:lang w:val="en-US" w:eastAsia="zh-CN"/>
        </w:rPr>
        <w:t>十一</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lang w:val="en-US" w:eastAsia="zh-CN"/>
        </w:rPr>
        <w:t>十七</w:t>
      </w:r>
      <w:r>
        <w:rPr>
          <w:rFonts w:hint="eastAsia" w:ascii="宋体" w:hAnsi="宋体" w:eastAsia="宋体" w:cs="宋体"/>
          <w:b/>
          <w:bCs/>
          <w:color w:val="auto"/>
          <w:spacing w:val="20"/>
          <w:sz w:val="32"/>
          <w:szCs w:val="32"/>
          <w:highlight w:val="none"/>
        </w:rPr>
        <w:t>日</w:t>
      </w:r>
    </w:p>
    <w:p>
      <w:pPr>
        <w:spacing w:line="500" w:lineRule="exact"/>
        <w:jc w:val="center"/>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2"/>
          <w:szCs w:val="32"/>
          <w:highlight w:val="none"/>
        </w:rPr>
        <w:br w:type="page"/>
      </w:r>
      <w:r>
        <w:rPr>
          <w:rFonts w:hint="eastAsia" w:ascii="宋体" w:hAnsi="宋体" w:eastAsia="宋体" w:cs="宋体"/>
          <w:b/>
          <w:color w:val="auto"/>
          <w:sz w:val="44"/>
          <w:szCs w:val="44"/>
          <w:highlight w:val="none"/>
        </w:rPr>
        <w:t>目      录</w:t>
      </w:r>
    </w:p>
    <w:p>
      <w:pPr>
        <w:spacing w:line="500" w:lineRule="exact"/>
        <w:jc w:val="center"/>
        <w:rPr>
          <w:rFonts w:hint="eastAsia" w:ascii="宋体" w:hAnsi="宋体" w:eastAsia="宋体" w:cs="宋体"/>
          <w:b/>
          <w:color w:val="auto"/>
          <w:sz w:val="44"/>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第一部分  比选公告</w:t>
      </w:r>
    </w:p>
    <w:p>
      <w:pPr>
        <w:tabs>
          <w:tab w:val="left" w:pos="7740"/>
        </w:tabs>
        <w:spacing w:line="500" w:lineRule="exact"/>
        <w:rPr>
          <w:rFonts w:hint="eastAsia" w:ascii="宋体" w:hAnsi="宋体" w:eastAsia="宋体" w:cs="宋体"/>
          <w:b/>
          <w:bCs/>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第二部分  比选须知</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第三部分  项目需求说明</w:t>
      </w:r>
    </w:p>
    <w:p>
      <w:pPr>
        <w:pStyle w:val="17"/>
        <w:tabs>
          <w:tab w:val="left" w:pos="7740"/>
          <w:tab w:val="left" w:pos="7920"/>
        </w:tabs>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lang w:eastAsia="zh-CN"/>
        </w:rPr>
      </w:pPr>
      <w:r>
        <w:rPr>
          <w:rFonts w:hint="eastAsia" w:ascii="宋体" w:hAnsi="宋体" w:eastAsia="宋体" w:cs="宋体"/>
          <w:b/>
          <w:color w:val="auto"/>
          <w:sz w:val="32"/>
          <w:szCs w:val="32"/>
          <w:highlight w:val="none"/>
        </w:rPr>
        <w:t xml:space="preserve">第四部分  </w:t>
      </w:r>
      <w:r>
        <w:rPr>
          <w:rFonts w:hint="eastAsia" w:ascii="宋体" w:hAnsi="宋体" w:eastAsia="宋体" w:cs="宋体"/>
          <w:b/>
          <w:bCs/>
          <w:color w:val="auto"/>
          <w:sz w:val="32"/>
          <w:szCs w:val="32"/>
          <w:highlight w:val="none"/>
        </w:rPr>
        <w:t>开启和</w:t>
      </w:r>
      <w:r>
        <w:rPr>
          <w:rFonts w:hint="eastAsia" w:ascii="宋体" w:hAnsi="宋体" w:eastAsia="宋体" w:cs="宋体"/>
          <w:b/>
          <w:bCs/>
          <w:color w:val="auto"/>
          <w:sz w:val="32"/>
          <w:szCs w:val="32"/>
          <w:highlight w:val="none"/>
          <w:lang w:val="en-US" w:eastAsia="zh-CN"/>
        </w:rPr>
        <w:t>评审</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第五部分  合同签订与验收付款</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 xml:space="preserve">第六部分  </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文件组成</w:t>
      </w:r>
    </w:p>
    <w:p>
      <w:pPr>
        <w:spacing w:line="500" w:lineRule="exact"/>
        <w:rPr>
          <w:rFonts w:hint="eastAsia" w:ascii="宋体" w:hAnsi="宋体" w:eastAsia="宋体" w:cs="宋体"/>
          <w:b/>
          <w:color w:val="auto"/>
          <w:sz w:val="32"/>
          <w:szCs w:val="32"/>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 xml:space="preserve">第一部分  </w:t>
      </w:r>
      <w:bookmarkStart w:id="0" w:name="_Hlk90021805"/>
      <w:r>
        <w:rPr>
          <w:rFonts w:hint="eastAsia" w:ascii="宋体" w:hAnsi="宋体" w:eastAsia="宋体" w:cs="宋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u w:val="single"/>
          <w:lang w:eastAsia="zh-CN"/>
        </w:rPr>
        <w:t>南通市统计局2023-2024安全运维服务项目</w:t>
      </w:r>
      <w:r>
        <w:rPr>
          <w:rFonts w:hint="eastAsia" w:ascii="宋体" w:hAnsi="宋体" w:eastAsia="宋体" w:cs="宋体"/>
          <w:color w:val="auto"/>
          <w:sz w:val="28"/>
          <w:szCs w:val="28"/>
          <w:highlight w:val="none"/>
          <w:u w:val="single"/>
        </w:rPr>
        <w:t>的潜在供应商应</w:t>
      </w:r>
      <w:r>
        <w:rPr>
          <w:rFonts w:hint="eastAsia" w:ascii="宋体" w:hAnsi="宋体" w:eastAsia="宋体" w:cs="宋体"/>
          <w:color w:val="auto"/>
          <w:sz w:val="28"/>
          <w:szCs w:val="28"/>
          <w:highlight w:val="none"/>
          <w:u w:val="single"/>
          <w:lang w:val="en-US" w:eastAsia="zh-CN"/>
        </w:rPr>
        <w:t>至南通市统计局网站</w:t>
      </w:r>
      <w:r>
        <w:rPr>
          <w:rFonts w:hint="eastAsia" w:ascii="宋体" w:hAnsi="宋体" w:eastAsia="宋体" w:cs="宋体"/>
          <w:color w:val="auto"/>
          <w:sz w:val="28"/>
          <w:szCs w:val="28"/>
          <w:highlight w:val="none"/>
          <w:u w:val="single"/>
        </w:rPr>
        <w:t>获取采购文件，并于2023年</w:t>
      </w:r>
      <w:r>
        <w:rPr>
          <w:rFonts w:hint="eastAsia" w:ascii="宋体" w:hAnsi="宋体" w:eastAsia="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24</w:t>
      </w:r>
      <w:r>
        <w:rPr>
          <w:rFonts w:hint="eastAsia" w:ascii="宋体" w:hAnsi="宋体" w:eastAsia="宋体" w:cs="宋体"/>
          <w:color w:val="auto"/>
          <w:sz w:val="28"/>
          <w:szCs w:val="28"/>
          <w:highlight w:val="none"/>
          <w:u w:val="single"/>
        </w:rPr>
        <w:t>日</w:t>
      </w:r>
      <w:r>
        <w:rPr>
          <w:rFonts w:hint="eastAsia" w:ascii="宋体" w:hAnsi="宋体" w:eastAsia="宋体" w:cs="宋体"/>
          <w:color w:val="auto"/>
          <w:sz w:val="28"/>
          <w:szCs w:val="28"/>
          <w:highlight w:val="none"/>
          <w:u w:val="single"/>
          <w:lang w:val="en-US" w:eastAsia="zh-CN"/>
        </w:rPr>
        <w:t>1</w:t>
      </w:r>
      <w:r>
        <w:rPr>
          <w:rFonts w:hint="eastAsia" w:ascii="宋体" w:hAnsi="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single"/>
        </w:rPr>
        <w:t>点</w:t>
      </w:r>
      <w:r>
        <w:rPr>
          <w:rFonts w:hint="eastAsia" w:ascii="宋体" w:hAnsi="宋体" w:cs="宋体"/>
          <w:color w:val="auto"/>
          <w:sz w:val="28"/>
          <w:szCs w:val="28"/>
          <w:highlight w:val="none"/>
          <w:u w:val="single"/>
          <w:lang w:val="en-US" w:eastAsia="zh-CN"/>
        </w:rPr>
        <w:t>45</w:t>
      </w:r>
      <w:r>
        <w:rPr>
          <w:rFonts w:hint="eastAsia" w:ascii="宋体" w:hAnsi="宋体" w:eastAsia="宋体" w:cs="宋体"/>
          <w:color w:val="auto"/>
          <w:sz w:val="28"/>
          <w:szCs w:val="28"/>
          <w:highlight w:val="none"/>
          <w:u w:val="single"/>
        </w:rPr>
        <w:t>分（北京时间）前提交响应文件。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南通市统计局2023-2024安全运维服务项目</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采购文件编号：</w:t>
      </w:r>
      <w:r>
        <w:rPr>
          <w:rFonts w:hint="eastAsia" w:ascii="宋体" w:hAnsi="宋体" w:eastAsia="宋体" w:cs="宋体"/>
          <w:color w:val="auto"/>
          <w:sz w:val="28"/>
          <w:szCs w:val="28"/>
          <w:highlight w:val="none"/>
          <w:lang w:eastAsia="zh-CN"/>
        </w:rPr>
        <w:t>ZRNT20230731</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预算金额：9万元,投标总价超过预算金额的作无效标处理。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合同履行期限：合同签订起一年。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二、采购文件内容：</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详见附件，请仔细研究。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三、供应商资格要求</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（一）基本要求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b/>
          <w:bCs/>
          <w:color w:val="auto"/>
          <w:spacing w:val="7"/>
          <w:sz w:val="28"/>
          <w:szCs w:val="28"/>
          <w:highlight w:val="none"/>
          <w:shd w:val="clear" w:color="auto" w:fill="FFFFFF"/>
        </w:rPr>
        <w:t>1.</w:t>
      </w:r>
      <w:r>
        <w:rPr>
          <w:rFonts w:hint="eastAsia" w:ascii="宋体" w:hAnsi="宋体" w:eastAsia="宋体" w:cs="宋体"/>
          <w:b/>
          <w:bCs/>
          <w:color w:val="auto"/>
          <w:spacing w:val="7"/>
          <w:sz w:val="28"/>
          <w:szCs w:val="28"/>
          <w:highlight w:val="none"/>
          <w:shd w:val="clear" w:color="auto" w:fill="FFFFFF"/>
          <w:lang w:val="zh-CN"/>
        </w:rPr>
        <w:t>符合</w:t>
      </w:r>
      <w:r>
        <w:rPr>
          <w:rFonts w:hint="eastAsia" w:ascii="宋体" w:hAnsi="宋体" w:eastAsia="宋体" w:cs="宋体"/>
          <w:b/>
          <w:bCs/>
          <w:color w:val="auto"/>
          <w:spacing w:val="7"/>
          <w:sz w:val="28"/>
          <w:szCs w:val="28"/>
          <w:highlight w:val="none"/>
          <w:shd w:val="clear" w:color="auto" w:fill="FFFFFF"/>
        </w:rPr>
        <w:t>以下条件</w:t>
      </w:r>
      <w:r>
        <w:rPr>
          <w:rFonts w:hint="eastAsia" w:ascii="宋体" w:hAnsi="宋体" w:eastAsia="宋体" w:cs="宋体"/>
          <w:b/>
          <w:bCs/>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rPr>
        <w:t>具有独立承担民事责任的能力；具有良好的商业信誉和健全的财务会计制度；具有履行合同所必需的设备和专业</w:t>
      </w:r>
      <w:r>
        <w:rPr>
          <w:rFonts w:hint="eastAsia" w:ascii="宋体" w:hAnsi="宋体" w:eastAsia="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（二）其他资格条件要求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1.未被“信用中国”网站列入失信被执行人、重大税收违法案件当事人名单、采购不良行为记录名单；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2.提供法定代表人身份证明及本人身份证复印件；非法定代表人参加比选的，还必须提供法定代表人签字或盖章的授权委托书及被授权人本人的身份证复印件。</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3</w:t>
      </w:r>
      <w:r>
        <w:rPr>
          <w:rFonts w:hint="eastAsia" w:ascii="宋体" w:hAnsi="宋体" w:eastAsia="宋体" w:cs="宋体"/>
          <w:color w:val="auto"/>
          <w:spacing w:val="7"/>
          <w:sz w:val="28"/>
          <w:szCs w:val="28"/>
          <w:highlight w:val="none"/>
          <w:shd w:val="clear" w:color="auto" w:fill="FFFFFF"/>
        </w:rPr>
        <w:t>.法定代表人为同一个人的两个及两个以上法人，母公司、全资子公司及其控股公司，都不得在同一采购项目或同一标段中同时参加投标，一经发现，将视同围标处理。</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4</w:t>
      </w:r>
      <w:r>
        <w:rPr>
          <w:rFonts w:hint="eastAsia" w:ascii="宋体" w:hAnsi="宋体" w:eastAsia="宋体" w:cs="宋体"/>
          <w:color w:val="auto"/>
          <w:spacing w:val="7"/>
          <w:sz w:val="28"/>
          <w:szCs w:val="28"/>
          <w:highlight w:val="none"/>
          <w:shd w:val="clear" w:color="auto" w:fill="FFFFFF"/>
          <w:lang w:val="en-US"/>
        </w:rPr>
        <w:t>.成交供应商不得将本项目分包或者转让给其他主体实施。</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5</w:t>
      </w:r>
      <w:r>
        <w:rPr>
          <w:rFonts w:hint="eastAsia" w:ascii="宋体" w:hAnsi="宋体" w:eastAsia="宋体" w:cs="宋体"/>
          <w:color w:val="auto"/>
          <w:spacing w:val="7"/>
          <w:sz w:val="28"/>
          <w:szCs w:val="28"/>
          <w:highlight w:val="none"/>
          <w:shd w:val="clear" w:color="auto" w:fill="FFFFFF"/>
          <w:lang w:val="en-US"/>
        </w:rPr>
        <w:t>.本项目不接受联合体。</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四、比选公告期限</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自比选公告在</w:t>
      </w:r>
      <w:r>
        <w:rPr>
          <w:rFonts w:hint="eastAsia" w:ascii="宋体" w:hAnsi="宋体" w:eastAsia="宋体" w:cs="宋体"/>
          <w:color w:val="auto"/>
          <w:spacing w:val="7"/>
          <w:sz w:val="28"/>
          <w:szCs w:val="28"/>
          <w:highlight w:val="none"/>
          <w:shd w:val="clear" w:color="auto" w:fill="FFFFFF"/>
          <w:lang w:eastAsia="zh-CN"/>
        </w:rPr>
        <w:t>南通市统计局网站</w:t>
      </w:r>
      <w:r>
        <w:rPr>
          <w:rFonts w:hint="eastAsia" w:ascii="宋体" w:hAnsi="宋体" w:eastAsia="宋体" w:cs="宋体"/>
          <w:color w:val="auto"/>
          <w:spacing w:val="7"/>
          <w:sz w:val="28"/>
          <w:szCs w:val="28"/>
          <w:highlight w:val="none"/>
          <w:shd w:val="clear" w:color="auto" w:fill="FFFFFF"/>
        </w:rPr>
        <w:t>发布之日起3日。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五、比选保证金</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rPr>
        <w:t>本项目不收取比选保证金</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履约保证金</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rPr>
        <w:t>本项目不收取履约保证金。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七、采购文件的获取，开启时间、地点</w:t>
      </w:r>
    </w:p>
    <w:bookmarkEnd w:id="0"/>
    <w:p>
      <w:pPr>
        <w:spacing w:line="460" w:lineRule="exact"/>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none"/>
        </w:rPr>
        <w:t>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17</w:t>
      </w:r>
      <w:r>
        <w:rPr>
          <w:rFonts w:hint="eastAsia" w:ascii="宋体" w:hAnsi="宋体" w:eastAsia="宋体" w:cs="宋体"/>
          <w:sz w:val="28"/>
          <w:szCs w:val="28"/>
          <w:u w:val="none"/>
        </w:rPr>
        <w:t>日至2023年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23</w:t>
      </w:r>
      <w:r>
        <w:rPr>
          <w:rFonts w:hint="eastAsia" w:ascii="宋体" w:hAnsi="宋体" w:eastAsia="宋体" w:cs="宋体"/>
          <w:sz w:val="28"/>
          <w:szCs w:val="28"/>
          <w:u w:val="none"/>
        </w:rPr>
        <w:t>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地点：南通市统计局网站；</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sz w:val="28"/>
          <w:szCs w:val="28"/>
        </w:rPr>
        <w:t>方式：</w:t>
      </w:r>
      <w:r>
        <w:rPr>
          <w:rFonts w:hint="eastAsia" w:ascii="宋体" w:hAnsi="宋体" w:eastAsia="宋体" w:cs="宋体"/>
          <w:sz w:val="28"/>
          <w:szCs w:val="28"/>
          <w:lang w:val="en-US" w:eastAsia="zh-CN"/>
        </w:rPr>
        <w:t>自行下载采购文件。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en-US" w:eastAsia="zh-CN"/>
        </w:rPr>
        <w:t>1.</w:t>
      </w:r>
      <w:r>
        <w:rPr>
          <w:rFonts w:hint="eastAsia" w:ascii="宋体" w:hAnsi="宋体" w:eastAsia="宋体" w:cs="宋体"/>
          <w:color w:val="auto"/>
          <w:spacing w:val="7"/>
          <w:sz w:val="28"/>
          <w:szCs w:val="28"/>
          <w:highlight w:val="none"/>
          <w:shd w:val="clear" w:color="auto" w:fill="FFFFFF"/>
          <w:lang w:val="zh-CN"/>
        </w:rPr>
        <w:t>响应文件提交：</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截止时间：2023年11月24日</w:t>
      </w:r>
      <w:r>
        <w:rPr>
          <w:rFonts w:hint="eastAsia" w:ascii="宋体" w:hAnsi="宋体" w:cs="宋体"/>
          <w:color w:val="auto"/>
          <w:spacing w:val="7"/>
          <w:sz w:val="28"/>
          <w:szCs w:val="28"/>
          <w:highlight w:val="none"/>
          <w:shd w:val="clear" w:color="auto" w:fill="FFFFFF"/>
          <w:lang w:val="en-US" w:eastAsia="zh-CN"/>
        </w:rPr>
        <w:t>13</w:t>
      </w:r>
      <w:r>
        <w:rPr>
          <w:rFonts w:hint="eastAsia" w:ascii="宋体" w:hAnsi="宋体" w:eastAsia="宋体" w:cs="宋体"/>
          <w:color w:val="auto"/>
          <w:spacing w:val="7"/>
          <w:sz w:val="28"/>
          <w:szCs w:val="28"/>
          <w:highlight w:val="none"/>
          <w:shd w:val="clear" w:color="auto" w:fill="FFFFFF"/>
          <w:lang w:val="zh-CN"/>
        </w:rPr>
        <w:t>点</w:t>
      </w:r>
      <w:r>
        <w:rPr>
          <w:rFonts w:hint="eastAsia" w:ascii="宋体" w:hAnsi="宋体" w:cs="宋体"/>
          <w:color w:val="auto"/>
          <w:spacing w:val="7"/>
          <w:sz w:val="28"/>
          <w:szCs w:val="28"/>
          <w:highlight w:val="none"/>
          <w:shd w:val="clear" w:color="auto" w:fill="FFFFFF"/>
          <w:lang w:val="en-US" w:eastAsia="zh-CN"/>
        </w:rPr>
        <w:t>45</w:t>
      </w:r>
      <w:r>
        <w:rPr>
          <w:rFonts w:hint="eastAsia" w:ascii="宋体" w:hAnsi="宋体" w:eastAsia="宋体" w:cs="宋体"/>
          <w:color w:val="auto"/>
          <w:spacing w:val="7"/>
          <w:sz w:val="28"/>
          <w:szCs w:val="28"/>
          <w:highlight w:val="none"/>
          <w:shd w:val="clear" w:color="auto" w:fill="FFFFFF"/>
          <w:lang w:val="zh-CN"/>
        </w:rPr>
        <w:t>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w:t>
      </w:r>
      <w:r>
        <w:rPr>
          <w:rFonts w:hint="eastAsia" w:ascii="宋体" w:hAnsi="宋体" w:eastAsia="宋体" w:cs="宋体"/>
          <w:b/>
          <w:bCs/>
          <w:color w:val="auto"/>
          <w:spacing w:val="7"/>
          <w:sz w:val="28"/>
          <w:szCs w:val="28"/>
          <w:highlight w:val="none"/>
          <w:shd w:val="clear" w:color="auto" w:fill="FFFFFF"/>
          <w:lang w:val="en-US" w:eastAsia="zh-CN"/>
        </w:rPr>
        <w:t>开标室</w:t>
      </w:r>
      <w:r>
        <w:rPr>
          <w:rFonts w:hint="eastAsia" w:ascii="宋体" w:hAnsi="宋体" w:eastAsia="宋体" w:cs="宋体"/>
          <w:b/>
          <w:bCs/>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en-US" w:eastAsia="zh-CN"/>
        </w:rPr>
        <w:t>2.</w:t>
      </w:r>
      <w:r>
        <w:rPr>
          <w:rFonts w:hint="eastAsia" w:ascii="宋体" w:hAnsi="宋体" w:eastAsia="宋体" w:cs="宋体"/>
          <w:color w:val="auto"/>
          <w:spacing w:val="7"/>
          <w:sz w:val="28"/>
          <w:szCs w:val="28"/>
          <w:highlight w:val="none"/>
          <w:shd w:val="clear" w:color="auto" w:fill="FFFFFF"/>
          <w:lang w:val="zh-CN"/>
        </w:rPr>
        <w:t>开启</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时间：2023年11月24日</w:t>
      </w:r>
      <w:r>
        <w:rPr>
          <w:rFonts w:hint="eastAsia" w:ascii="宋体" w:hAnsi="宋体" w:cs="宋体"/>
          <w:color w:val="auto"/>
          <w:spacing w:val="7"/>
          <w:sz w:val="28"/>
          <w:szCs w:val="28"/>
          <w:highlight w:val="none"/>
          <w:shd w:val="clear" w:color="auto" w:fill="FFFFFF"/>
          <w:lang w:val="en-US" w:eastAsia="zh-CN"/>
        </w:rPr>
        <w:t>13</w:t>
      </w:r>
      <w:r>
        <w:rPr>
          <w:rFonts w:hint="eastAsia" w:ascii="宋体" w:hAnsi="宋体" w:eastAsia="宋体" w:cs="宋体"/>
          <w:color w:val="auto"/>
          <w:spacing w:val="7"/>
          <w:sz w:val="28"/>
          <w:szCs w:val="28"/>
          <w:highlight w:val="none"/>
          <w:shd w:val="clear" w:color="auto" w:fill="FFFFFF"/>
          <w:lang w:val="zh-CN"/>
        </w:rPr>
        <w:t>点</w:t>
      </w:r>
      <w:r>
        <w:rPr>
          <w:rFonts w:hint="eastAsia" w:ascii="宋体" w:hAnsi="宋体" w:cs="宋体"/>
          <w:color w:val="auto"/>
          <w:spacing w:val="7"/>
          <w:sz w:val="28"/>
          <w:szCs w:val="28"/>
          <w:highlight w:val="none"/>
          <w:shd w:val="clear" w:color="auto" w:fill="FFFFFF"/>
          <w:lang w:val="en-US" w:eastAsia="zh-CN"/>
        </w:rPr>
        <w:t>45</w:t>
      </w:r>
      <w:r>
        <w:rPr>
          <w:rFonts w:hint="eastAsia" w:ascii="宋体" w:hAnsi="宋体" w:eastAsia="宋体" w:cs="宋体"/>
          <w:color w:val="auto"/>
          <w:spacing w:val="7"/>
          <w:sz w:val="28"/>
          <w:szCs w:val="28"/>
          <w:highlight w:val="none"/>
          <w:shd w:val="clear" w:color="auto" w:fill="FFFFFF"/>
          <w:lang w:val="zh-CN"/>
        </w:rPr>
        <w:t>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南通市崇川路58号南通产业技术研究院9号楼10楼开标室。</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十、凡对本次采购提出询问，请按以下方式联系</w:t>
      </w:r>
    </w:p>
    <w:p>
      <w:pPr>
        <w:pStyle w:val="3"/>
        <w:pageBreakBefore w:val="0"/>
        <w:widowControl w:val="0"/>
        <w:kinsoku/>
        <w:wordWrap/>
        <w:overflowPunct/>
        <w:topLinePunct w:val="0"/>
        <w:autoSpaceDE/>
        <w:autoSpaceDN/>
        <w:bidi w:val="0"/>
        <w:adjustRightInd/>
        <w:spacing w:before="0" w:after="0" w:line="420" w:lineRule="exact"/>
        <w:ind w:firstLine="560" w:firstLineChars="200"/>
        <w:textAlignment w:val="auto"/>
        <w:rPr>
          <w:rFonts w:hint="eastAsia" w:ascii="宋体" w:hAnsi="宋体" w:eastAsia="宋体" w:cs="宋体"/>
          <w:b w:val="0"/>
          <w:bCs w:val="0"/>
          <w:sz w:val="28"/>
          <w:szCs w:val="28"/>
        </w:rPr>
      </w:pPr>
      <w:bookmarkStart w:id="1" w:name="_Toc35393637"/>
      <w:bookmarkStart w:id="2" w:name="_Toc28359096"/>
      <w:bookmarkStart w:id="3" w:name="_Toc35393806"/>
      <w:bookmarkStart w:id="4" w:name="_Toc28359019"/>
      <w:r>
        <w:rPr>
          <w:rFonts w:hint="eastAsia" w:ascii="宋体" w:hAnsi="宋体" w:eastAsia="宋体" w:cs="宋体"/>
          <w:b w:val="0"/>
          <w:bCs w:val="0"/>
          <w:sz w:val="28"/>
          <w:szCs w:val="28"/>
        </w:rPr>
        <w:t>1.采购人信息</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bookmarkStart w:id="5" w:name="_Toc28359020"/>
      <w:bookmarkStart w:id="6" w:name="_Toc28359097"/>
      <w:bookmarkStart w:id="7" w:name="_Toc35393638"/>
      <w:bookmarkStart w:id="8" w:name="_Toc35393807"/>
      <w:r>
        <w:rPr>
          <w:rFonts w:hint="eastAsia" w:ascii="宋体" w:hAnsi="宋体" w:eastAsia="宋体" w:cs="宋体"/>
          <w:color w:val="auto"/>
          <w:spacing w:val="7"/>
          <w:sz w:val="28"/>
          <w:szCs w:val="28"/>
          <w:highlight w:val="none"/>
          <w:shd w:val="clear" w:color="auto" w:fill="FFFFFF"/>
          <w:lang w:val="zh-CN"/>
        </w:rPr>
        <w:t>名称：</w:t>
      </w:r>
      <w:r>
        <w:rPr>
          <w:rFonts w:hint="eastAsia" w:ascii="宋体" w:hAnsi="宋体" w:eastAsia="宋体" w:cs="宋体"/>
          <w:color w:val="auto"/>
          <w:spacing w:val="7"/>
          <w:sz w:val="28"/>
          <w:szCs w:val="28"/>
          <w:highlight w:val="none"/>
          <w:shd w:val="clear" w:color="auto" w:fill="FFFFFF"/>
          <w:lang w:val="zh-CN" w:eastAsia="zh-CN"/>
        </w:rPr>
        <w:t>南通市统计局</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联系方式：周先生  0513-85215772</w:t>
      </w:r>
      <w:r>
        <w:rPr>
          <w:rFonts w:hint="eastAsia" w:ascii="宋体" w:hAnsi="宋体" w:eastAsia="宋体" w:cs="宋体"/>
          <w:color w:val="auto"/>
          <w:spacing w:val="7"/>
          <w:sz w:val="28"/>
          <w:szCs w:val="28"/>
          <w:highlight w:val="none"/>
          <w:shd w:val="clear" w:color="auto" w:fill="FFFFFF"/>
          <w:lang w:val="en-US" w:eastAsia="zh-CN"/>
        </w:rPr>
        <w:t xml:space="preserve"> </w:t>
      </w:r>
      <w:r>
        <w:rPr>
          <w:rFonts w:hint="eastAsia" w:ascii="宋体" w:hAnsi="宋体" w:eastAsia="宋体" w:cs="宋体"/>
          <w:color w:val="auto"/>
          <w:spacing w:val="7"/>
          <w:sz w:val="28"/>
          <w:szCs w:val="28"/>
          <w:highlight w:val="none"/>
          <w:shd w:val="clear" w:color="auto" w:fill="FFFFFF"/>
          <w:lang w:val="zh-CN"/>
        </w:rPr>
        <w:t xml:space="preserve"> </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2.采购代理机构信息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r>
        <w:rPr>
          <w:rFonts w:hint="eastAsia" w:ascii="宋体" w:hAnsi="宋体" w:eastAsia="宋体" w:cs="宋体"/>
          <w:color w:val="auto"/>
          <w:spacing w:val="7"/>
          <w:sz w:val="28"/>
          <w:szCs w:val="28"/>
          <w:highlight w:val="none"/>
          <w:shd w:val="clear" w:color="auto" w:fill="FFFFFF"/>
          <w:lang w:val="zh-CN"/>
        </w:rPr>
        <w:t>名    称：</w:t>
      </w:r>
      <w:r>
        <w:rPr>
          <w:rFonts w:hint="eastAsia" w:ascii="宋体" w:hAnsi="宋体" w:eastAsia="宋体" w:cs="宋体"/>
          <w:color w:val="auto"/>
          <w:spacing w:val="7"/>
          <w:sz w:val="28"/>
          <w:szCs w:val="28"/>
          <w:highlight w:val="none"/>
          <w:shd w:val="clear" w:color="auto" w:fill="FFFFFF"/>
          <w:lang w:val="zh-CN" w:eastAsia="zh-CN"/>
        </w:rPr>
        <w:t>江苏中润工程建设咨询有限公司</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联系人：王工</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地址：南通市崇川路58号</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联系方式：0513-55887688</w:t>
      </w:r>
      <w:r>
        <w:rPr>
          <w:rFonts w:hint="eastAsia" w:ascii="宋体" w:hAnsi="宋体" w:eastAsia="宋体" w:cs="宋体"/>
          <w:sz w:val="28"/>
          <w:szCs w:val="28"/>
          <w:lang w:val="en-US" w:eastAsia="zh-CN"/>
        </w:rPr>
        <w:t xml:space="preserve"> 13906272111</w:t>
      </w:r>
    </w:p>
    <w:p>
      <w:pPr>
        <w:snapToGrid w:val="0"/>
        <w:spacing w:line="46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6"/>
          <w:szCs w:val="36"/>
          <w:highlight w:val="none"/>
        </w:rPr>
        <w:t>第二部分  比选须知</w:t>
      </w:r>
    </w:p>
    <w:p>
      <w:pPr>
        <w:snapToGrid w:val="0"/>
        <w:spacing w:line="460" w:lineRule="exact"/>
        <w:ind w:firstLine="562" w:firstLineChars="200"/>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一、采购文件由采购人解释</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人应认真审阅采购文件中所有的事项、格式、条款和规范要求等，如果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人没有按照采购文件要求提交</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文件，或者</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文件没有对采购文件做出实质性响应，其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将被拒绝，</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人自行承担责任。</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二、采购文件的澄清、修改、答疑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1.采购人有权对发出的采购文件进行必要的澄清或修改。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2.采购人可视情取消、延长相关时间。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3.采购人对采购文件的澄清、修改将构成采购文件的一部分，对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人具有约束力。</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人由于对采购文件的任何推论和误解以及采购人对有关问题的口头解释所造成的后果，均由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人自负。</w:t>
      </w:r>
    </w:p>
    <w:p>
      <w:pPr>
        <w:snapToGrid w:val="0"/>
        <w:spacing w:line="460" w:lineRule="exact"/>
        <w:ind w:firstLine="560" w:firstLineChars="200"/>
        <w:outlineLvl w:val="1"/>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5.采购人视情组织答疑会。</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三、参选报价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1.本项目不接受任何有选择的报价。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报价均以人民币为报价的货币单位。</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3.报价表必须加盖供应商公章且必须经法定代表人或被委托授权人签署。</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报价出现前后不一致的，按照下列规定修正：</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文件中报价表内容与比选文件技术响应中内容明细不一致的，以报价表为准；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文件中涉及大写金额和小写金额不一致的，以大写金额为准；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（3）单价金额小数点或者百分比有明显错位的，以报价表（投标报价总表）的总价为准，并修改单价；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（4）总价金额与按单价汇总金额不一致的，以单价金额计算结果为准。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6．本次实施的培训项目采用总价报价的形式，投标报价包括但不限于承担本项目制作、运输、人工、安装调试，线路改动、项目管理费用、税费等，即实施项目所需的全部费用。</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四、参选文件的编写、份数和签署</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1.比选人按第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组成”编写</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响应文件规格幅面</w:t>
      </w:r>
      <w:r>
        <w:rPr>
          <w:rFonts w:hint="eastAsia" w:ascii="宋体" w:hAnsi="宋体" w:eastAsia="宋体" w:cs="宋体"/>
          <w:color w:val="auto"/>
          <w:sz w:val="28"/>
          <w:szCs w:val="28"/>
          <w:highlight w:val="none"/>
        </w:rPr>
        <w:t>A4纸（图纸等除外）；</w:t>
      </w:r>
      <w:r>
        <w:rPr>
          <w:rFonts w:hint="eastAsia" w:ascii="宋体" w:hAnsi="宋体" w:eastAsia="宋体" w:cs="宋体"/>
          <w:color w:val="auto"/>
          <w:kern w:val="0"/>
          <w:sz w:val="28"/>
          <w:szCs w:val="28"/>
          <w:highlight w:val="none"/>
          <w:lang w:val="zh-CN"/>
        </w:rPr>
        <w:t>按照采购文件所规定的内容顺序，统一编制目录，逐页编码，由于编排混乱导致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响应文件被误读或查找不到，其责任应当由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人承担；</w:t>
      </w:r>
      <w:r>
        <w:rPr>
          <w:rFonts w:hint="eastAsia" w:ascii="宋体" w:hAnsi="宋体" w:eastAsia="宋体" w:cs="宋体"/>
          <w:color w:val="auto"/>
          <w:sz w:val="28"/>
          <w:szCs w:val="28"/>
          <w:highlight w:val="none"/>
        </w:rPr>
        <w:t>牢固装订成册，不允许使用活页夹、拉杆夹、文件夹、塑料方便式书脊（插入式或穿孔式）装订；</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不得行间插字、涂改、增删，如修补错漏处，须经</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签署人签字并加盖公章。</w:t>
      </w:r>
    </w:p>
    <w:p>
      <w:pPr>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、价格文件），明确标注</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人全称、“正本”、“副本”字样。</w:t>
      </w:r>
      <w:r>
        <w:rPr>
          <w:rFonts w:hint="eastAsia" w:ascii="宋体" w:hAnsi="宋体" w:eastAsia="宋体" w:cs="宋体"/>
          <w:color w:val="auto"/>
          <w:sz w:val="28"/>
          <w:szCs w:val="28"/>
          <w:highlight w:val="none"/>
          <w:lang w:val="en-US" w:eastAsia="zh-CN"/>
        </w:rPr>
        <w:t>纸质参选响应文件</w:t>
      </w:r>
      <w:r>
        <w:rPr>
          <w:rFonts w:hint="eastAsia" w:ascii="宋体" w:hAnsi="宋体" w:eastAsia="宋体" w:cs="宋体"/>
          <w:b/>
          <w:color w:val="auto"/>
          <w:sz w:val="28"/>
          <w:szCs w:val="28"/>
          <w:highlight w:val="none"/>
        </w:rPr>
        <w:t>正本份数：1份，副本份数：</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份。</w:t>
      </w:r>
      <w:r>
        <w:rPr>
          <w:rFonts w:hint="eastAsia" w:ascii="宋体" w:hAnsi="宋体" w:eastAsia="宋体" w:cs="宋体"/>
          <w:b/>
          <w:color w:val="auto"/>
          <w:sz w:val="28"/>
          <w:szCs w:val="28"/>
          <w:highlight w:val="none"/>
          <w:lang w:val="en-US" w:eastAsia="zh-CN"/>
        </w:rPr>
        <w:t>电子响应文件一份。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正副本须打印并由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人法定代表人或授权人签字并加盖单位印章。</w:t>
      </w:r>
    </w:p>
    <w:p>
      <w:pPr>
        <w:spacing w:after="0" w:line="460" w:lineRule="exact"/>
        <w:ind w:firstLine="562" w:firstLineChars="2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凡是响应文件中涉及</w:t>
      </w:r>
      <w:r>
        <w:rPr>
          <w:rFonts w:hint="eastAsia" w:ascii="宋体" w:hAnsi="宋体" w:eastAsia="宋体" w:cs="宋体"/>
          <w:b/>
          <w:color w:val="auto"/>
          <w:sz w:val="28"/>
          <w:szCs w:val="28"/>
          <w:highlight w:val="none"/>
          <w:lang w:eastAsia="zh-CN"/>
        </w:rPr>
        <w:t>参选</w:t>
      </w:r>
      <w:r>
        <w:rPr>
          <w:rFonts w:hint="eastAsia" w:ascii="宋体" w:hAnsi="宋体" w:eastAsia="宋体" w:cs="宋体"/>
          <w:b/>
          <w:color w:val="auto"/>
          <w:sz w:val="28"/>
          <w:szCs w:val="28"/>
          <w:highlight w:val="none"/>
        </w:rPr>
        <w:t>供应商资信认证、人员证书、业绩荣誉等复印件，和要求法定代表人或授权委托人签字，和以供应商名称落款并注明需要盖章的，均需相应盖章（鲜章</w:t>
      </w:r>
      <w:r>
        <w:rPr>
          <w:rFonts w:hint="eastAsia" w:ascii="宋体" w:hAnsi="宋体" w:eastAsia="宋体" w:cs="宋体"/>
          <w:b/>
          <w:color w:val="auto"/>
          <w:sz w:val="28"/>
          <w:szCs w:val="28"/>
          <w:highlight w:val="none"/>
          <w:lang w:val="en-US" w:eastAsia="zh-CN"/>
        </w:rPr>
        <w:t>或电子签章</w:t>
      </w:r>
      <w:r>
        <w:rPr>
          <w:rFonts w:hint="eastAsia" w:ascii="宋体" w:hAnsi="宋体" w:eastAsia="宋体" w:cs="宋体"/>
          <w:b/>
          <w:color w:val="auto"/>
          <w:sz w:val="28"/>
          <w:szCs w:val="28"/>
          <w:highlight w:val="none"/>
        </w:rPr>
        <w:t>）或签字。否则视为未按照采购文件要求盖章</w:t>
      </w:r>
      <w:r>
        <w:rPr>
          <w:rFonts w:hint="eastAsia" w:ascii="宋体" w:hAnsi="宋体" w:eastAsia="宋体" w:cs="宋体"/>
          <w:b/>
          <w:color w:val="auto"/>
          <w:sz w:val="28"/>
          <w:szCs w:val="28"/>
          <w:highlight w:val="none"/>
          <w:lang w:val="en-US" w:eastAsia="zh-CN"/>
        </w:rPr>
        <w:t>或签字</w:t>
      </w:r>
      <w:r>
        <w:rPr>
          <w:rFonts w:hint="eastAsia" w:ascii="宋体" w:hAnsi="宋体" w:eastAsia="宋体" w:cs="宋体"/>
          <w:b/>
          <w:color w:val="auto"/>
          <w:sz w:val="28"/>
          <w:szCs w:val="28"/>
          <w:highlight w:val="none"/>
        </w:rPr>
        <w:t>。</w:t>
      </w:r>
    </w:p>
    <w:p>
      <w:pPr>
        <w:spacing w:after="0" w:line="460" w:lineRule="exact"/>
        <w:ind w:firstLine="562"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电子响应文件</w:t>
      </w:r>
    </w:p>
    <w:p>
      <w:pPr>
        <w:snapToGrid w:val="0"/>
        <w:spacing w:line="460" w:lineRule="exact"/>
        <w:ind w:firstLine="562" w:firstLineChars="200"/>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snapToGrid w:val="0"/>
        <w:spacing w:line="460" w:lineRule="exact"/>
        <w:ind w:firstLine="562" w:firstLineChars="200"/>
        <w:outlineLvl w:val="1"/>
        <w:rPr>
          <w:rFonts w:hint="eastAsia" w:ascii="宋体" w:hAnsi="宋体" w:eastAsia="宋体" w:cs="宋体"/>
          <w:b w:val="0"/>
          <w:bCs/>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 w:val="0"/>
          <w:bCs/>
          <w:color w:val="auto"/>
          <w:sz w:val="28"/>
          <w:szCs w:val="28"/>
          <w:highlight w:val="none"/>
        </w:rPr>
        <w:t>文件的密封及标记</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人应将资格审查证明材料正本、副本合并密封，统一装在一个密封袋内。</w:t>
      </w:r>
    </w:p>
    <w:p>
      <w:pPr>
        <w:snapToGrid w:val="0"/>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须单独密封，不得出现于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文件其他部分中。</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4.密封后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）封面分别标明采购文件项目名称、项目编号、边缝处加盖单位骑缝章或骑缝签字</w:t>
      </w:r>
      <w:r>
        <w:rPr>
          <w:rFonts w:hint="eastAsia" w:ascii="宋体" w:hAnsi="宋体" w:eastAsia="宋体" w:cs="宋体"/>
          <w:color w:val="auto"/>
          <w:sz w:val="28"/>
          <w:szCs w:val="28"/>
          <w:highlight w:val="none"/>
          <w:lang w:val="en-US" w:eastAsia="zh-CN"/>
        </w:rPr>
        <w:t>等关键信息并加盖供应商公章，</w:t>
      </w:r>
      <w:r>
        <w:rPr>
          <w:rFonts w:hint="eastAsia" w:ascii="宋体" w:hAnsi="宋体" w:eastAsia="宋体" w:cs="宋体"/>
          <w:b/>
          <w:bCs/>
          <w:color w:val="auto"/>
          <w:sz w:val="28"/>
          <w:szCs w:val="28"/>
          <w:highlight w:val="none"/>
        </w:rPr>
        <w:t>密封完好标准以未泄露响应文件内容为主要判断依据</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5.采购人将拒绝接收未按照采购文件要求密封的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六、参选文件的递交时间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文件必须在规定的接收截止时间前送达采购人。采购人将拒绝接收在比选截止时间后递交的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七、相关费用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1.供应商承担参与比选可能发生的全部费用，代理机构在任何情况下均无义务和责任承担这些费用。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2.本项目资料费300元/份，在获取文件时支付给代理机构，无论</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与否该项目不予退还。</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3.本项目比选代理费</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元计收，供应商须综合考虑在比选响应报价内。供应商报价时需综合考虑以上费用（不单列）。</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代理费等费用定标后由</w:t>
      </w:r>
      <w:r>
        <w:rPr>
          <w:rFonts w:hint="eastAsia" w:ascii="宋体" w:hAnsi="宋体" w:eastAsia="宋体" w:cs="宋体"/>
          <w:color w:val="auto"/>
          <w:sz w:val="28"/>
          <w:szCs w:val="32"/>
          <w:highlight w:val="none"/>
          <w:lang w:eastAsia="zh-CN"/>
        </w:rPr>
        <w:t>中选</w:t>
      </w:r>
      <w:r>
        <w:rPr>
          <w:rFonts w:hint="eastAsia" w:ascii="宋体" w:hAnsi="宋体" w:eastAsia="宋体" w:cs="宋体"/>
          <w:color w:val="auto"/>
          <w:sz w:val="28"/>
          <w:szCs w:val="32"/>
          <w:highlight w:val="none"/>
        </w:rPr>
        <w:t>候选人支付给代理机构。</w:t>
      </w:r>
      <w:r>
        <w:rPr>
          <w:rFonts w:hint="eastAsia" w:ascii="宋体" w:hAnsi="宋体" w:eastAsia="宋体" w:cs="宋体"/>
          <w:color w:val="auto"/>
          <w:sz w:val="28"/>
          <w:szCs w:val="28"/>
          <w:highlight w:val="none"/>
        </w:rPr>
        <w:t>因</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人原因导致</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结果变更或取消</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资格等，代理费不予退还。</w:t>
      </w: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第三部分  项目需求</w:t>
      </w:r>
    </w:p>
    <w:p>
      <w:pPr>
        <w:adjustRightInd w:val="0"/>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keepNext/>
        <w:keepLines/>
        <w:pageBreakBefore w:val="0"/>
        <w:kinsoku/>
        <w:wordWrap/>
        <w:overflowPunct/>
        <w:topLinePunct w:val="0"/>
        <w:autoSpaceDE/>
        <w:autoSpaceDN/>
        <w:bidi w:val="0"/>
        <w:adjustRightInd/>
        <w:snapToGrid/>
        <w:spacing w:line="460" w:lineRule="exact"/>
        <w:ind w:left="0" w:firstLine="562" w:firstLineChars="20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一、项目背景</w:t>
      </w:r>
    </w:p>
    <w:p>
      <w:pPr>
        <w:pageBreakBefore w:val="0"/>
        <w:widowControl/>
        <w:shd w:val="clear" w:color="auto" w:fill="FFFFFF"/>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rPr>
        <w:t>网络安全等级保护针对信息安全系统建设的过程，提出了具体的管理办法和实施指南，并对信息安全系统提出了技术和运维管理方面的建设要求。即网络安全并不是仅仅通过安全技术，也需通过安全运维管理（安全意识、运维安全规范、运维安全技术）来共同建设，如定期对安全设备进行安全巡检、及时更新设备的特征库、及时对安全设备日志进行分析、对应用系统的漏洞进行及时修复等等。</w:t>
      </w:r>
    </w:p>
    <w:p>
      <w:pPr>
        <w:pageBreakBefore w:val="0"/>
        <w:widowControl/>
        <w:shd w:val="clear" w:color="auto" w:fill="FFFFFF"/>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bCs/>
          <w:kern w:val="0"/>
          <w:sz w:val="28"/>
          <w:szCs w:val="28"/>
        </w:rPr>
      </w:pPr>
      <w:r>
        <w:rPr>
          <w:rFonts w:hint="eastAsia" w:ascii="宋体" w:hAnsi="宋体" w:eastAsia="宋体" w:cs="宋体"/>
          <w:bCs/>
          <w:kern w:val="0"/>
          <w:sz w:val="28"/>
          <w:szCs w:val="28"/>
          <w:lang w:eastAsia="zh-CN"/>
        </w:rPr>
        <w:t>南通市统计局</w:t>
      </w:r>
      <w:r>
        <w:rPr>
          <w:rFonts w:hint="eastAsia" w:ascii="宋体" w:hAnsi="宋体" w:eastAsia="宋体" w:cs="宋体"/>
          <w:bCs/>
          <w:kern w:val="0"/>
          <w:sz w:val="28"/>
          <w:szCs w:val="28"/>
        </w:rPr>
        <w:t>以信息安全服务总体框架为基础、以安全策略为指导，聘请专业的安全服务团队，保障系统的稳定安全运行。同时通过专业的安全咨询和服务，构建动态、完整、高效的信息安全整体，提高信息系统的整体安全等级，为保证业务的健康发展提供坚实的基础保障。</w:t>
      </w:r>
    </w:p>
    <w:p>
      <w:pPr>
        <w:keepNext/>
        <w:keepLines/>
        <w:pageBreakBefore w:val="0"/>
        <w:kinsoku/>
        <w:wordWrap/>
        <w:overflowPunct/>
        <w:topLinePunct w:val="0"/>
        <w:autoSpaceDE/>
        <w:autoSpaceDN/>
        <w:bidi w:val="0"/>
        <w:adjustRightInd/>
        <w:snapToGrid/>
        <w:spacing w:line="460" w:lineRule="exact"/>
        <w:ind w:left="0" w:firstLine="562" w:firstLineChars="20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二、服务需求清单</w:t>
      </w:r>
    </w:p>
    <w:p>
      <w:pPr>
        <w:pageBreakBefore w:val="0"/>
        <w:widowControl/>
        <w:shd w:val="clear" w:color="auto" w:fill="FFFFFF"/>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val="en-US" w:eastAsia="zh-CN"/>
        </w:rPr>
        <w:t>安全</w:t>
      </w:r>
      <w:r>
        <w:rPr>
          <w:rFonts w:hint="eastAsia" w:ascii="宋体" w:hAnsi="宋体" w:eastAsia="宋体" w:cs="宋体"/>
          <w:bCs/>
          <w:kern w:val="0"/>
          <w:sz w:val="28"/>
          <w:szCs w:val="28"/>
          <w:lang w:eastAsia="zh-CN"/>
        </w:rPr>
        <w:t>运维服务内容</w:t>
      </w:r>
    </w:p>
    <w:tbl>
      <w:tblPr>
        <w:tblStyle w:val="35"/>
        <w:tblW w:w="44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3321"/>
        <w:gridCol w:w="3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2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189"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主项目</w:t>
            </w:r>
          </w:p>
        </w:tc>
        <w:tc>
          <w:tcPr>
            <w:tcW w:w="2187"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p>
        </w:tc>
        <w:tc>
          <w:tcPr>
            <w:tcW w:w="218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一、基础运维服务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服务器安全运维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p>
        </w:tc>
        <w:tc>
          <w:tcPr>
            <w:tcW w:w="218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网络安全运维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p>
        </w:tc>
        <w:tc>
          <w:tcPr>
            <w:tcW w:w="2189"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二、专业网络安全服务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漏洞检测和处置服务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p>
        </w:tc>
        <w:tc>
          <w:tcPr>
            <w:tcW w:w="218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渗透性测试服务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p>
        </w:tc>
        <w:tc>
          <w:tcPr>
            <w:tcW w:w="218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新应用上线安全服务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6</w:t>
            </w:r>
          </w:p>
        </w:tc>
        <w:tc>
          <w:tcPr>
            <w:tcW w:w="218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三、咨询服务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日常安全咨询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7</w:t>
            </w:r>
          </w:p>
        </w:tc>
        <w:tc>
          <w:tcPr>
            <w:tcW w:w="2189"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安全规划和解决方案设计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8</w:t>
            </w:r>
          </w:p>
        </w:tc>
        <w:tc>
          <w:tcPr>
            <w:tcW w:w="218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四、应急支持服务</w:t>
            </w:r>
          </w:p>
        </w:tc>
        <w:tc>
          <w:tcPr>
            <w:tcW w:w="21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应急响应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9</w:t>
            </w:r>
          </w:p>
        </w:tc>
        <w:tc>
          <w:tcPr>
            <w:tcW w:w="2189"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五、安全通告服务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安全通告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10</w:t>
            </w:r>
          </w:p>
        </w:tc>
        <w:tc>
          <w:tcPr>
            <w:tcW w:w="2189"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六、安全培训服务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11</w:t>
            </w:r>
          </w:p>
        </w:tc>
        <w:tc>
          <w:tcPr>
            <w:tcW w:w="218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七、其他</w:t>
            </w:r>
            <w:r>
              <w:rPr>
                <w:rFonts w:hint="eastAsia" w:ascii="宋体" w:hAnsi="宋体" w:eastAsia="宋体" w:cs="宋体"/>
                <w:sz w:val="24"/>
                <w:szCs w:val="24"/>
                <w:lang w:val="en-US" w:eastAsia="zh-CN"/>
              </w:rPr>
              <w:t>服务</w:t>
            </w: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协助安全检查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12</w:t>
            </w:r>
          </w:p>
        </w:tc>
        <w:tc>
          <w:tcPr>
            <w:tcW w:w="218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spacing w:line="460" w:lineRule="exact"/>
              <w:ind w:leftChars="0"/>
              <w:jc w:val="center"/>
              <w:textAlignment w:val="auto"/>
              <w:rPr>
                <w:rFonts w:hint="eastAsia" w:ascii="宋体" w:hAnsi="宋体" w:eastAsia="宋体" w:cs="宋体"/>
                <w:sz w:val="24"/>
                <w:szCs w:val="24"/>
              </w:rPr>
            </w:pPr>
          </w:p>
        </w:tc>
        <w:tc>
          <w:tcPr>
            <w:tcW w:w="218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left"/>
              <w:textAlignment w:val="auto"/>
              <w:rPr>
                <w:rFonts w:hint="eastAsia" w:ascii="宋体" w:hAnsi="宋体" w:eastAsia="宋体" w:cs="宋体"/>
                <w:sz w:val="24"/>
                <w:szCs w:val="24"/>
              </w:rPr>
            </w:pPr>
          </w:p>
        </w:tc>
        <w:tc>
          <w:tcPr>
            <w:tcW w:w="21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60" w:lineRule="exact"/>
              <w:ind w:left="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态势感知服务</w:t>
            </w:r>
          </w:p>
        </w:tc>
      </w:tr>
    </w:tbl>
    <w:p>
      <w:pPr>
        <w:keepNext/>
        <w:keepLines/>
        <w:pageBreakBefore w:val="0"/>
        <w:numPr>
          <w:ilvl w:val="1"/>
          <w:numId w:val="0"/>
        </w:numPr>
        <w:tabs>
          <w:tab w:val="left" w:pos="992"/>
        </w:tabs>
        <w:kinsoku/>
        <w:wordWrap/>
        <w:overflowPunct/>
        <w:topLinePunct w:val="0"/>
        <w:autoSpaceDE/>
        <w:autoSpaceDN/>
        <w:bidi w:val="0"/>
        <w:adjustRightInd/>
        <w:snapToGrid/>
        <w:spacing w:line="460" w:lineRule="exact"/>
        <w:ind w:left="0" w:firstLine="562" w:firstLineChars="200"/>
        <w:textAlignment w:val="auto"/>
        <w:outlineLvl w:val="1"/>
        <w:rPr>
          <w:rFonts w:hint="eastAsia" w:ascii="宋体" w:hAnsi="宋体" w:eastAsia="宋体" w:cs="宋体"/>
          <w:b/>
          <w:bCs/>
          <w:sz w:val="28"/>
          <w:szCs w:val="28"/>
        </w:rPr>
      </w:pPr>
      <w:bookmarkStart w:id="9" w:name="_Toc97126893"/>
      <w:r>
        <w:rPr>
          <w:rFonts w:hint="eastAsia" w:ascii="宋体" w:hAnsi="宋体" w:eastAsia="宋体" w:cs="宋体"/>
          <w:b/>
          <w:bCs/>
          <w:sz w:val="28"/>
          <w:szCs w:val="28"/>
        </w:rPr>
        <w:t>三、具体需求说明</w:t>
      </w:r>
    </w:p>
    <w:bookmarkEnd w:id="9"/>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rPr>
      </w:pPr>
      <w:bookmarkStart w:id="10" w:name="_Toc13671112"/>
      <w:r>
        <w:rPr>
          <w:rFonts w:hint="eastAsia" w:ascii="宋体" w:hAnsi="宋体" w:eastAsia="宋体" w:cs="宋体"/>
          <w:b/>
          <w:bCs/>
          <w:sz w:val="28"/>
          <w:szCs w:val="28"/>
          <w:lang w:val="en-US" w:eastAsia="zh-CN"/>
        </w:rPr>
        <w:t>1.</w:t>
      </w:r>
      <w:r>
        <w:rPr>
          <w:rFonts w:hint="eastAsia" w:ascii="宋体" w:hAnsi="宋体" w:eastAsia="宋体" w:cs="宋体"/>
          <w:b/>
          <w:bCs/>
          <w:sz w:val="28"/>
          <w:szCs w:val="28"/>
        </w:rPr>
        <w:t>基础运维服务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1</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服务器安全运维</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规划服务器安全策略，并进行部署，关闭服务器非常用端口，制定服务器安全需求分析，实现服务器安全事件的管理，防止服务器被攻击从而导致应用瘫痪。</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bCs/>
          <w:kern w:val="0"/>
          <w:sz w:val="28"/>
          <w:szCs w:val="28"/>
          <w:lang w:eastAsia="zh-CN"/>
        </w:rPr>
      </w:pPr>
      <w:r>
        <w:rPr>
          <w:rFonts w:hint="eastAsia" w:ascii="宋体" w:hAnsi="宋体" w:eastAsia="宋体" w:cs="宋体"/>
          <w:bCs/>
          <w:kern w:val="0"/>
          <w:sz w:val="28"/>
          <w:szCs w:val="28"/>
          <w:lang w:eastAsia="zh-CN"/>
        </w:rPr>
        <w:t>对服务器按月度进行常规的巡检，并做好巡检纪录，巡检内容包括系统硬件运行状况、系统软件的运行情况，发现的问题及解决的方法。</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t>网络安全运维</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设备的常规巡检：对于防火墙、IPS、WAF、日志审计等主要安全设备按月度进行常规的巡检，并做好巡检纪录，包括安全系统可达性、延时、性能观测等，例如CPU、内存使用率、攻击信息记录，递交安全分析报告。</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网络安全设备配置管理：定期备份网络安全设备配置，防止由于异常情况导致网络中断且无法尽快恢复。</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安全设备的策略制定与部署：根据业务系统需求，制订合理的安全策略，规划安全策略的部署方案，并予以实施，包括访问控制策略、基于源与目的的业务控制等。</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安全故障排除：安全故障的排除，主要是针对因网络设备配置、运行等而导致的网络瘫痪、访问不可达现象而进行的故障排除处理，确保网络稳定运行。</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安全系统的日常维护与管理:包括对安全设备在我局提供的规则库、病毒库的有效期内进行定期升级，和针对性策略的更新与部署等。</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安全日志的汇总与分析：对网络中所有安全系统包括防火墙、防病毒、客户端管理系统的日志汇总与分析，评估网络安全系统的运行状态。</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安全隐患分析与强化：根据业务需求，制订网络安全解决方案，强化网络安全管理机制，实现网络安全策略的有效部署，提高网络安全稳定性。</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2.专业的网络安全服务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bCs w:val="0"/>
          <w:snapToGrid w:val="0"/>
          <w:kern w:val="0"/>
          <w:sz w:val="28"/>
          <w:szCs w:val="28"/>
        </w:rPr>
      </w:pPr>
      <w:r>
        <w:rPr>
          <w:rFonts w:hint="eastAsia" w:ascii="宋体" w:hAnsi="宋体" w:eastAsia="宋体" w:cs="宋体"/>
          <w:b w:val="0"/>
          <w:bCs w:val="0"/>
          <w:snapToGrid w:val="0"/>
          <w:kern w:val="0"/>
          <w:sz w:val="28"/>
          <w:szCs w:val="28"/>
        </w:rPr>
        <w:t>2.1</w:t>
      </w:r>
      <w:r>
        <w:rPr>
          <w:rFonts w:hint="eastAsia" w:ascii="宋体" w:hAnsi="宋体" w:eastAsia="宋体" w:cs="宋体"/>
          <w:b w:val="0"/>
          <w:bCs w:val="0"/>
          <w:sz w:val="28"/>
          <w:szCs w:val="28"/>
        </w:rPr>
        <w:t>漏洞检测和处置服务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1、每月对网络内主机操作系统、中间件、数据库、应用软件等进行全网扫描，及时发现最新漏洞，并提交安全扫描报告。</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2、根据安全扫描报告，对安全隐患根据现实情况提供安全加固和系统优化。对需要其他第三方支持的（如需应用开发方修复的），提供完善建议。</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2.2渗透性测试服务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每年根据需求，在不影响系统正常运行的前提下对重要信息系统进行一次多维度的信息系统测试服务，发现存在的渗透可能的相关脆弱性指标。及时对脆弱性指标提出整改措施。</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2.3新应用上线安全服务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若服务年度内，我局有新应用上线的，在正式上线之前，对新应用进行扫描，并进行完整的风险评估，根据风险评估报告结果，协助用户方做好相应的整改工作。并协助做好重要信息系统的等级备案工作。</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3.咨询服务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日常安全咨询：当软、硬件系统出现异常，怀疑为安全事件时，提供分析建议；当发生病毒爆发事件时，提供技术解决方式建议；当发生重大安全事件时，提供技术解决方式及系统加固建议，提供适当应急协调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安全规划和解决方案设计：提供信息系统安全建设的规划和方案设计服务，包含从项目立项、前期调研、可行性研究、方案设计、设备选型参考，招标书的制作以及项目管理辅助，项目验收辅助的整体的咨询服务解决方案。</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4.应急支持</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1、应急响应：在服务过程中，如客户遇到安全事故，须启动紧急技术支持服务，提供应急技术支撑团队提供紧急支持服务，制定响应措施，半小时内响应，24小时内解决，一般问题</w:t>
      </w:r>
      <w:r>
        <w:rPr>
          <w:rFonts w:hint="eastAsia" w:ascii="宋体" w:hAnsi="宋体" w:cs="宋体"/>
          <w:color w:val="0000FF"/>
          <w:sz w:val="28"/>
          <w:szCs w:val="28"/>
          <w:lang w:val="en-US" w:eastAsia="zh-CN"/>
        </w:rPr>
        <w:t>3</w:t>
      </w:r>
      <w:r>
        <w:rPr>
          <w:rFonts w:hint="eastAsia" w:ascii="宋体" w:hAnsi="宋体" w:eastAsia="宋体" w:cs="宋体"/>
          <w:color w:val="0000FF"/>
          <w:sz w:val="28"/>
          <w:szCs w:val="28"/>
        </w:rPr>
        <w:t>小时</w:t>
      </w:r>
      <w:r>
        <w:rPr>
          <w:rFonts w:hint="eastAsia" w:ascii="宋体" w:hAnsi="宋体" w:eastAsia="宋体" w:cs="宋体"/>
          <w:sz w:val="28"/>
          <w:szCs w:val="28"/>
        </w:rPr>
        <w:t>解决问题。提供7*24热线支持，现场/远程技术支持最大限度地减少用户风险，快速排除故障；</w:t>
      </w:r>
    </w:p>
    <w:p>
      <w:pPr>
        <w:pStyle w:val="34"/>
        <w:pageBreakBefore w:val="0"/>
        <w:kinsoku/>
        <w:wordWrap/>
        <w:overflowPunct/>
        <w:topLinePunct w:val="0"/>
        <w:autoSpaceDE/>
        <w:autoSpaceDN/>
        <w:bidi w:val="0"/>
        <w:adjustRightInd/>
        <w:snapToGrid/>
        <w:spacing w:after="0"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2、应急预案技术支持：协助客户完成对应急预案的验证和修订工作，为应急预案的修订提供技术支持。</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5.安全通告</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安全通告服务以邮件、电话、走访等方式，将安全技术和安全信息及时传递给客户。有重大安全隐患出现时，需及时通告，并针对重大安全隐患提出应对策略，协助做好应对工作。</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6.安全培训</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协助做好对工作人员的安全意识培训和网络安全管理员的岗位能力培训工作，内容主要包括：最新的法律法规、网络安全常规技术操作、网络安全事件案例分析、应急事件处置等。</w:t>
      </w:r>
    </w:p>
    <w:p>
      <w:pPr>
        <w:pageBreakBefore w:val="0"/>
        <w:tabs>
          <w:tab w:val="left" w:pos="576"/>
        </w:tabs>
        <w:kinsoku/>
        <w:wordWrap/>
        <w:overflowPunct/>
        <w:topLinePunct w:val="0"/>
        <w:autoSpaceDE/>
        <w:autoSpaceDN/>
        <w:bidi w:val="0"/>
        <w:adjustRightInd/>
        <w:snapToGrid/>
        <w:spacing w:line="460" w:lineRule="exact"/>
        <w:ind w:left="0"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7.其他服务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1、协助对各区县统计局开展网络安全检查工作。</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2、合同期内提供一次应急预案制定以及应急演练服务。</w:t>
      </w:r>
    </w:p>
    <w:p>
      <w:pPr>
        <w:pageBreakBefore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3、在南通市统计局网络中旁路部署探针，收集网络流量信息，实现整体网络的安全风险的监测、预警、通报、整改、反馈、分析。</w:t>
      </w:r>
    </w:p>
    <w:bookmarkEnd w:id="10"/>
    <w:p>
      <w:pPr>
        <w:keepNext/>
        <w:keepLines/>
        <w:pageBreakBefore w:val="0"/>
        <w:kinsoku/>
        <w:wordWrap/>
        <w:overflowPunct/>
        <w:topLinePunct w:val="0"/>
        <w:autoSpaceDE/>
        <w:autoSpaceDN/>
        <w:bidi w:val="0"/>
        <w:adjustRightInd/>
        <w:snapToGrid/>
        <w:spacing w:line="460" w:lineRule="exact"/>
        <w:ind w:left="0" w:firstLine="562" w:firstLineChars="20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四、其他</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1、签定合同日期：自中标通知书发出之日起5个工作日内按时签约。</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2、交货期（服务时间）：合同签订起一年。</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3、交货（服务）地点：采购方现场。</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4、</w:t>
      </w:r>
      <w:bookmarkStart w:id="11" w:name="_Hlk99101092"/>
      <w:r>
        <w:rPr>
          <w:rFonts w:hint="eastAsia" w:ascii="宋体" w:hAnsi="宋体" w:eastAsia="宋体" w:cs="宋体"/>
          <w:color w:val="000000"/>
          <w:sz w:val="28"/>
          <w:szCs w:val="28"/>
        </w:rPr>
        <w:t>付款方式：签订合同后10个工作日内，预付合同总价款的</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0%,一年服务期满验收合格后支付剩余</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0%的合同款（无息）。</w:t>
      </w:r>
      <w:bookmarkEnd w:id="11"/>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5、本项目合同一年一签,服务期限一年(自签订合同之日起计),合同期满,考核合格且采购人同意的情况下,可续签1年,连续续签不超过2次。 </w:t>
      </w:r>
    </w:p>
    <w:p>
      <w:pPr>
        <w:pageBreakBefore w:val="0"/>
        <w:kinsoku/>
        <w:wordWrap/>
        <w:overflowPunct/>
        <w:topLinePunct w:val="0"/>
        <w:autoSpaceDE/>
        <w:autoSpaceDN/>
        <w:bidi w:val="0"/>
        <w:adjustRightInd/>
        <w:snapToGrid/>
        <w:spacing w:line="460" w:lineRule="exact"/>
        <w:ind w:left="0" w:firstLine="560" w:firstLineChars="200"/>
        <w:jc w:val="left"/>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rPr>
        <w:t>由于投标人的原因所造成的额外费用，由投标人自行承担。如果采购人要求删除或增加功能，投标人应适当调整，但是投标文件中的各项优惠条件保持不变。投标人如果有其他优惠条件，必须作专门说明。</w:t>
      </w:r>
    </w:p>
    <w:p>
      <w:pPr>
        <w:keepNext w:val="0"/>
        <w:keepLines w:val="0"/>
        <w:pageBreakBefore w:val="0"/>
        <w:widowControl w:val="0"/>
        <w:kinsoku/>
        <w:wordWrap/>
        <w:overflowPunct/>
        <w:topLinePunct w:val="0"/>
        <w:autoSpaceDE/>
        <w:autoSpaceDN/>
        <w:bidi w:val="0"/>
        <w:adjustRightInd/>
        <w:snapToGrid/>
        <w:spacing w:line="460" w:lineRule="exact"/>
        <w:ind w:left="0" w:firstLine="560" w:firstLineChars="200"/>
        <w:textAlignment w:val="auto"/>
        <w:rPr>
          <w:rFonts w:hint="eastAsia" w:ascii="宋体" w:hAnsi="宋体" w:eastAsia="宋体" w:cs="宋体"/>
          <w:color w:val="auto"/>
          <w:sz w:val="28"/>
          <w:szCs w:val="28"/>
          <w:lang w:val="zh-CN" w:eastAsia="zh-CN"/>
        </w:rPr>
      </w:pPr>
      <w:r>
        <w:rPr>
          <w:rFonts w:hint="eastAsia" w:ascii="宋体" w:hAnsi="宋体" w:cs="宋体"/>
          <w:color w:val="000000"/>
          <w:sz w:val="28"/>
          <w:szCs w:val="28"/>
          <w:lang w:val="en-US" w:eastAsia="zh-CN"/>
        </w:rPr>
        <w:t>7</w:t>
      </w:r>
      <w:r>
        <w:rPr>
          <w:rFonts w:hint="eastAsia" w:ascii="宋体" w:hAnsi="宋体" w:eastAsia="宋体" w:cs="宋体"/>
          <w:color w:val="000000"/>
          <w:sz w:val="28"/>
          <w:szCs w:val="28"/>
        </w:rPr>
        <w:t>、以上条款的内容如果需要修改或者有其他未涉及的事项，由双方协商解决。</w:t>
      </w:r>
    </w:p>
    <w:p>
      <w:pPr>
        <w:spacing w:line="560" w:lineRule="exact"/>
        <w:ind w:firstLine="560" w:firstLineChars="200"/>
        <w:jc w:val="center"/>
        <w:rPr>
          <w:rFonts w:hint="eastAsia" w:ascii="宋体" w:hAnsi="宋体" w:eastAsia="宋体" w:cs="宋体"/>
          <w:color w:val="auto"/>
          <w:kern w:val="0"/>
          <w:sz w:val="28"/>
          <w:szCs w:val="28"/>
          <w:lang w:val="zh-CN"/>
        </w:rPr>
      </w:pPr>
    </w:p>
    <w:p>
      <w:pPr>
        <w:spacing w:line="560" w:lineRule="exact"/>
        <w:ind w:firstLine="723" w:firstLineChars="200"/>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560" w:lineRule="exact"/>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开</w:t>
      </w:r>
      <w:r>
        <w:rPr>
          <w:rFonts w:hint="eastAsia" w:ascii="宋体" w:hAnsi="宋体" w:eastAsia="宋体" w:cs="宋体"/>
          <w:b/>
          <w:color w:val="auto"/>
          <w:sz w:val="36"/>
          <w:szCs w:val="36"/>
          <w:highlight w:val="none"/>
          <w:lang w:val="en-US" w:eastAsia="zh-CN"/>
        </w:rPr>
        <w:t>启</w:t>
      </w:r>
      <w:r>
        <w:rPr>
          <w:rFonts w:hint="eastAsia" w:ascii="宋体" w:hAnsi="宋体" w:eastAsia="宋体" w:cs="宋体"/>
          <w:b/>
          <w:color w:val="auto"/>
          <w:sz w:val="36"/>
          <w:szCs w:val="36"/>
          <w:highlight w:val="none"/>
        </w:rPr>
        <w:t>和评</w:t>
      </w:r>
      <w:r>
        <w:rPr>
          <w:rFonts w:hint="eastAsia" w:ascii="宋体" w:hAnsi="宋体" w:eastAsia="宋体" w:cs="宋体"/>
          <w:b/>
          <w:color w:val="auto"/>
          <w:sz w:val="36"/>
          <w:szCs w:val="36"/>
          <w:highlight w:val="none"/>
          <w:lang w:val="en-US" w:eastAsia="zh-CN"/>
        </w:rPr>
        <w:t>审</w:t>
      </w:r>
    </w:p>
    <w:p>
      <w:pPr>
        <w:tabs>
          <w:tab w:val="left" w:pos="3585"/>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color w:val="auto"/>
          <w:sz w:val="28"/>
          <w:szCs w:val="28"/>
          <w:highlight w:val="none"/>
        </w:rPr>
        <w:t>采购人组织开标。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人的法定代表人或授权人须持有效身份证参加开标会。</w:t>
      </w:r>
    </w:p>
    <w:p>
      <w:pPr>
        <w:snapToGrid w:val="0"/>
        <w:spacing w:line="46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评委会由</w:t>
      </w:r>
      <w:r>
        <w:rPr>
          <w:rFonts w:hint="eastAsia" w:ascii="宋体" w:hAnsi="宋体" w:eastAsia="宋体" w:cs="宋体"/>
          <w:b/>
          <w:bCs/>
          <w:color w:val="auto"/>
          <w:sz w:val="28"/>
          <w:szCs w:val="28"/>
          <w:highlight w:val="none"/>
        </w:rPr>
        <w:t>有关专家和</w:t>
      </w:r>
      <w:r>
        <w:rPr>
          <w:rFonts w:hint="eastAsia" w:ascii="宋体" w:hAnsi="宋体" w:eastAsia="宋体" w:cs="宋体"/>
          <w:b/>
          <w:color w:val="auto"/>
          <w:sz w:val="28"/>
          <w:szCs w:val="28"/>
          <w:highlight w:val="none"/>
        </w:rPr>
        <w:t>采购人代表</w:t>
      </w:r>
      <w:r>
        <w:rPr>
          <w:rFonts w:hint="eastAsia" w:ascii="宋体" w:hAnsi="宋体" w:eastAsia="宋体" w:cs="宋体"/>
          <w:b/>
          <w:bCs/>
          <w:color w:val="auto"/>
          <w:sz w:val="28"/>
          <w:szCs w:val="28"/>
          <w:highlight w:val="none"/>
        </w:rPr>
        <w:t>组成</w:t>
      </w:r>
      <w:r>
        <w:rPr>
          <w:rFonts w:hint="eastAsia" w:ascii="宋体" w:hAnsi="宋体" w:eastAsia="宋体" w:cs="宋体"/>
          <w:color w:val="auto"/>
          <w:sz w:val="28"/>
          <w:szCs w:val="28"/>
          <w:highlight w:val="none"/>
        </w:rPr>
        <w:t>，按照</w:t>
      </w:r>
      <w:r>
        <w:rPr>
          <w:rFonts w:hint="eastAsia" w:ascii="宋体" w:hAnsi="宋体" w:eastAsia="宋体" w:cs="宋体"/>
          <w:bCs/>
          <w:color w:val="auto"/>
          <w:sz w:val="28"/>
          <w:szCs w:val="28"/>
          <w:highlight w:val="none"/>
        </w:rPr>
        <w:t>公平、公正、择优的原则进行</w:t>
      </w:r>
      <w:r>
        <w:rPr>
          <w:rFonts w:hint="eastAsia" w:ascii="宋体" w:hAnsi="宋体" w:eastAsia="宋体" w:cs="宋体"/>
          <w:color w:val="auto"/>
          <w:sz w:val="28"/>
          <w:szCs w:val="28"/>
          <w:highlight w:val="none"/>
        </w:rPr>
        <w:t>独立</w:t>
      </w:r>
      <w:r>
        <w:rPr>
          <w:rFonts w:hint="eastAsia" w:ascii="宋体" w:hAnsi="宋体" w:eastAsia="宋体" w:cs="宋体"/>
          <w:bCs/>
          <w:color w:val="auto"/>
          <w:sz w:val="28"/>
          <w:szCs w:val="28"/>
          <w:highlight w:val="none"/>
        </w:rPr>
        <w:t>评标。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由采购人代表对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人资格性、符合性审查，对未通过审查的供应商，应现场告知原因。评委会对合格供应商的比选文件进行评审。</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（一）评审内容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资格是否符合</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文件是否完整；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文件是否恰当地签署；</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4.是否作出实质性响应（</w:t>
      </w:r>
      <w:r>
        <w:rPr>
          <w:rFonts w:hint="eastAsia" w:ascii="宋体" w:hAnsi="宋体" w:eastAsia="宋体" w:cs="宋体"/>
          <w:b/>
          <w:color w:val="auto"/>
          <w:sz w:val="28"/>
          <w:szCs w:val="28"/>
          <w:highlight w:val="none"/>
        </w:rPr>
        <w:t>是否有实质性响应，只根据参选文件本身，而不寻求外部证据）；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5.是否有计算错误。</w:t>
      </w:r>
    </w:p>
    <w:p>
      <w:pPr>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（二）相应的规定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如果单价汇总金额与总价金额有出入，以单价金额计算结果为准；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2.单价金额小数点有明显错位的，应以总价为准；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3.正本与副本有矛盾的，以正本为准；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4.若文件大写表示的数据与数字表示的有差别，以大写表示的数据为准。</w:t>
      </w:r>
    </w:p>
    <w:p>
      <w:pPr>
        <w:tabs>
          <w:tab w:val="left" w:pos="3585"/>
        </w:tabs>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陈述、演示、</w:t>
      </w:r>
      <w:r>
        <w:rPr>
          <w:rFonts w:hint="eastAsia" w:ascii="宋体" w:hAnsi="宋体" w:eastAsia="宋体" w:cs="宋体"/>
          <w:b/>
          <w:bCs/>
          <w:color w:val="auto"/>
          <w:sz w:val="28"/>
          <w:szCs w:val="28"/>
          <w:highlight w:val="none"/>
        </w:rPr>
        <w:t>答疑、澄清</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rPr>
        <w:t>如评委会认为有必要，</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shd w:val="clear" w:color="auto" w:fill="FFFFFF"/>
        </w:rPr>
        <w:t>人按评委会的要求作陈述、演示、</w:t>
      </w:r>
      <w:r>
        <w:rPr>
          <w:rFonts w:hint="eastAsia" w:ascii="宋体" w:hAnsi="宋体" w:eastAsia="宋体" w:cs="宋体"/>
          <w:color w:val="auto"/>
          <w:sz w:val="28"/>
          <w:szCs w:val="28"/>
          <w:highlight w:val="none"/>
        </w:rPr>
        <w:t>答疑及澄清其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内容。时间由评委会掌握。</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重要澄清答复应是书面的，但不得对比选内容进行实质性修改。</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对采购过程提出质询的，为各采购程序环节结束之日；</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w:t>
      </w:r>
      <w:r>
        <w:rPr>
          <w:rFonts w:hint="eastAsia" w:ascii="宋体" w:hAnsi="宋体" w:eastAsia="宋体" w:cs="宋体"/>
          <w:b/>
          <w:color w:val="auto"/>
          <w:sz w:val="28"/>
          <w:szCs w:val="28"/>
          <w:highlight w:val="none"/>
          <w:lang w:eastAsia="zh-CN"/>
        </w:rPr>
        <w:t>质询</w:t>
      </w:r>
      <w:r>
        <w:rPr>
          <w:rFonts w:hint="eastAsia" w:ascii="宋体" w:hAnsi="宋体" w:eastAsia="宋体" w:cs="宋体"/>
          <w:b/>
          <w:color w:val="auto"/>
          <w:sz w:val="28"/>
          <w:szCs w:val="28"/>
          <w:highlight w:val="none"/>
        </w:rPr>
        <w:t>投诉。</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四、出现下列情形之一的，作无效参选处理;</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1.未按照采购文件规定要求签署、盖章、密封、提交的；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2.不具备采购文件中规定的资格要求的；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3.报价</w:t>
      </w:r>
      <w:r>
        <w:rPr>
          <w:rFonts w:hint="eastAsia" w:ascii="宋体" w:hAnsi="宋体" w:eastAsia="宋体" w:cs="宋体"/>
          <w:color w:val="auto"/>
          <w:sz w:val="28"/>
          <w:szCs w:val="28"/>
          <w:highlight w:val="none"/>
          <w:lang w:val="en-US" w:eastAsia="zh-CN"/>
        </w:rPr>
        <w:t>超过本项目预算金额的</w:t>
      </w:r>
      <w:r>
        <w:rPr>
          <w:rFonts w:hint="eastAsia" w:ascii="宋体" w:hAnsi="宋体" w:eastAsia="宋体" w:cs="宋体"/>
          <w:color w:val="auto"/>
          <w:sz w:val="28"/>
          <w:szCs w:val="28"/>
          <w:highlight w:val="none"/>
        </w:rPr>
        <w:t>；</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参选响应文件</w:t>
      </w:r>
      <w:r>
        <w:rPr>
          <w:rFonts w:hint="eastAsia" w:ascii="宋体" w:hAnsi="宋体" w:eastAsia="宋体" w:cs="宋体"/>
          <w:color w:val="auto"/>
          <w:sz w:val="28"/>
          <w:szCs w:val="28"/>
          <w:highlight w:val="none"/>
        </w:rPr>
        <w:t>含有采购人不能接受的附加条件的；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5.不符合采购文件中规定的其他实质性要求的。</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五、出现下列情形之一的，作废标处理</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1.符合条件的供应商或者对比选文件作实质响应的供应商不足3家的；</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出现影响采购公正的违法违规行为的；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3.参选人的报价均超过了采购预算，采购人不能支付的；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上述均保留评委会认定可以确定为无效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或废标的其他情况。</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Cs/>
          <w:color w:val="auto"/>
          <w:sz w:val="28"/>
          <w:szCs w:val="28"/>
          <w:highlight w:val="none"/>
        </w:rPr>
        <w:t>采用综合评分法。分资格审查、</w:t>
      </w:r>
      <w:r>
        <w:rPr>
          <w:rFonts w:hint="eastAsia" w:ascii="宋体" w:hAnsi="宋体" w:eastAsia="宋体" w:cs="宋体"/>
          <w:bCs/>
          <w:color w:val="auto"/>
          <w:sz w:val="28"/>
          <w:szCs w:val="28"/>
          <w:highlight w:val="none"/>
          <w:lang w:eastAsia="zh-CN"/>
        </w:rPr>
        <w:t>价格文件</w:t>
      </w:r>
      <w:r>
        <w:rPr>
          <w:rFonts w:hint="eastAsia" w:ascii="宋体" w:hAnsi="宋体" w:eastAsia="宋体" w:cs="宋体"/>
          <w:bCs/>
          <w:color w:val="auto"/>
          <w:sz w:val="28"/>
          <w:szCs w:val="28"/>
          <w:highlight w:val="none"/>
        </w:rPr>
        <w:t>、商务技术标三部分评审，总分值为100分，加分和减分因素除外。</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评委在认真审阅比选文件的基础上，根据各参选文件的商务、技术部分的响应情况，对各评分项目进行评分，不得统一打分。</w:t>
      </w:r>
    </w:p>
    <w:p>
      <w:pPr>
        <w:snapToGrid w:val="0"/>
        <w:spacing w:line="460" w:lineRule="exact"/>
        <w:ind w:left="568"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（一）参选人资格性、符合性审查</w:t>
      </w:r>
    </w:p>
    <w:p>
      <w:pPr>
        <w:pStyle w:val="98"/>
        <w:snapToGrid w:val="0"/>
        <w:spacing w:line="460" w:lineRule="exact"/>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参选人资格性、符合性不合格的，其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文件判定为无效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文件。合格的，评委对其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文件继续评审。</w:t>
      </w:r>
    </w:p>
    <w:p>
      <w:pPr>
        <w:kinsoku w:val="0"/>
        <w:overflowPunct w:val="0"/>
        <w:autoSpaceDE w:val="0"/>
        <w:autoSpaceDN w:val="0"/>
        <w:adjustRightInd w:val="0"/>
        <w:snapToGrid w:val="0"/>
        <w:spacing w:line="460" w:lineRule="exact"/>
        <w:ind w:left="567"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 xml:space="preserve"> (二)</w:t>
      </w:r>
      <w:r>
        <w:rPr>
          <w:rFonts w:hint="eastAsia" w:ascii="宋体" w:hAnsi="宋体" w:eastAsia="宋体" w:cs="宋体"/>
          <w:b/>
          <w:color w:val="auto"/>
          <w:sz w:val="28"/>
          <w:szCs w:val="28"/>
          <w:highlight w:val="none"/>
        </w:rPr>
        <w:t>评分标准与权重</w:t>
      </w:r>
    </w:p>
    <w:p>
      <w:pPr>
        <w:kinsoku w:val="0"/>
        <w:overflowPunct w:val="0"/>
        <w:autoSpaceDE w:val="0"/>
        <w:autoSpaceDN w:val="0"/>
        <w:adjustRightInd w:val="0"/>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采用综合评分法，根据评分从高到低排序确定成交供应商，评分标准如下：</w:t>
      </w:r>
    </w:p>
    <w:p>
      <w:pPr>
        <w:pStyle w:val="55"/>
        <w:numPr>
          <w:ilvl w:val="0"/>
          <w:numId w:val="4"/>
        </w:numPr>
        <w:ind w:firstLine="560"/>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val="en-US"/>
        </w:rPr>
        <w:t>商务技术分：</w:t>
      </w:r>
      <w:r>
        <w:rPr>
          <w:rFonts w:hint="eastAsia" w:ascii="宋体" w:hAnsi="宋体" w:eastAsia="宋体" w:cs="宋体"/>
          <w:color w:val="auto"/>
          <w:kern w:val="0"/>
          <w:sz w:val="28"/>
          <w:szCs w:val="28"/>
          <w:highlight w:val="none"/>
          <w:lang w:val="en-US" w:eastAsia="zh-CN"/>
        </w:rPr>
        <w:t>80</w:t>
      </w:r>
      <w:r>
        <w:rPr>
          <w:rFonts w:hint="eastAsia" w:ascii="宋体" w:hAnsi="宋体" w:eastAsia="宋体" w:cs="宋体"/>
          <w:color w:val="auto"/>
          <w:kern w:val="0"/>
          <w:sz w:val="28"/>
          <w:szCs w:val="28"/>
          <w:highlight w:val="none"/>
          <w:lang w:val="en-US"/>
        </w:rPr>
        <w:t>分</w:t>
      </w:r>
    </w:p>
    <w:tbl>
      <w:tblPr>
        <w:tblStyle w:val="3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955"/>
        <w:gridCol w:w="722"/>
        <w:gridCol w:w="5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序号 </w:t>
            </w:r>
          </w:p>
        </w:tc>
        <w:tc>
          <w:tcPr>
            <w:tcW w:w="560"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 xml:space="preserve">评分点名称 </w:t>
            </w:r>
          </w:p>
        </w:tc>
        <w:tc>
          <w:tcPr>
            <w:tcW w:w="42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352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4"/>
              </w:rPr>
            </w:pPr>
            <w:r>
              <w:rPr>
                <w:rFonts w:hint="eastAsia" w:ascii="仿宋" w:hAnsi="仿宋" w:eastAsia="仿宋" w:cs="仿宋"/>
                <w:b/>
                <w:bCs/>
                <w:color w:val="000000"/>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1" w:type="pct"/>
            <w:tcBorders>
              <w:tl2br w:val="nil"/>
              <w:tr2bl w:val="nil"/>
            </w:tcBorders>
            <w:noWrap w:val="0"/>
            <w:vAlign w:val="center"/>
          </w:tcPr>
          <w:p>
            <w:pPr>
              <w:bidi w:val="0"/>
              <w:rPr>
                <w:rFonts w:hint="eastAsia"/>
                <w:sz w:val="24"/>
                <w:szCs w:val="24"/>
              </w:rPr>
            </w:pPr>
            <w:r>
              <w:rPr>
                <w:rFonts w:hint="eastAsia"/>
                <w:sz w:val="24"/>
                <w:szCs w:val="24"/>
              </w:rPr>
              <w:t>1.1</w:t>
            </w:r>
          </w:p>
        </w:tc>
        <w:tc>
          <w:tcPr>
            <w:tcW w:w="560" w:type="pct"/>
            <w:tcBorders>
              <w:tl2br w:val="nil"/>
              <w:tr2bl w:val="nil"/>
            </w:tcBorders>
            <w:noWrap w:val="0"/>
            <w:vAlign w:val="center"/>
          </w:tcPr>
          <w:p>
            <w:pPr>
              <w:bidi w:val="0"/>
              <w:rPr>
                <w:rFonts w:hint="eastAsia"/>
                <w:sz w:val="24"/>
                <w:szCs w:val="24"/>
              </w:rPr>
            </w:pPr>
            <w:r>
              <w:rPr>
                <w:rFonts w:hint="eastAsia"/>
                <w:sz w:val="24"/>
                <w:szCs w:val="24"/>
              </w:rPr>
              <w:t>综合</w:t>
            </w:r>
          </w:p>
          <w:p>
            <w:pPr>
              <w:bidi w:val="0"/>
              <w:rPr>
                <w:rFonts w:hint="eastAsia"/>
                <w:sz w:val="24"/>
                <w:szCs w:val="24"/>
              </w:rPr>
            </w:pPr>
            <w:r>
              <w:rPr>
                <w:rFonts w:hint="eastAsia"/>
                <w:sz w:val="24"/>
                <w:szCs w:val="24"/>
              </w:rPr>
              <w:t>能力1</w:t>
            </w:r>
          </w:p>
        </w:tc>
        <w:tc>
          <w:tcPr>
            <w:tcW w:w="424" w:type="pct"/>
            <w:tcBorders>
              <w:tl2br w:val="nil"/>
              <w:tr2bl w:val="nil"/>
            </w:tcBorders>
            <w:noWrap w:val="0"/>
            <w:vAlign w:val="center"/>
          </w:tcPr>
          <w:p>
            <w:pPr>
              <w:bidi w:val="0"/>
              <w:jc w:val="center"/>
              <w:rPr>
                <w:rFonts w:hint="eastAsia"/>
                <w:sz w:val="24"/>
                <w:szCs w:val="24"/>
                <w:lang w:val="en-US" w:eastAsia="zh-CN"/>
              </w:rPr>
            </w:pPr>
            <w:r>
              <w:rPr>
                <w:rFonts w:hint="eastAsia"/>
                <w:sz w:val="24"/>
                <w:szCs w:val="24"/>
                <w:lang w:val="en-US" w:eastAsia="zh-CN"/>
              </w:rPr>
              <w:t>6</w:t>
            </w:r>
          </w:p>
        </w:tc>
        <w:tc>
          <w:tcPr>
            <w:tcW w:w="3523" w:type="pct"/>
            <w:tcBorders>
              <w:tl2br w:val="nil"/>
              <w:tr2bl w:val="nil"/>
            </w:tcBorders>
            <w:noWrap w:val="0"/>
            <w:vAlign w:val="center"/>
          </w:tcPr>
          <w:p>
            <w:pPr>
              <w:bidi w:val="0"/>
              <w:rPr>
                <w:rFonts w:hint="eastAsia"/>
                <w:sz w:val="24"/>
                <w:szCs w:val="24"/>
              </w:rPr>
            </w:pPr>
            <w:r>
              <w:rPr>
                <w:rFonts w:hint="eastAsia"/>
                <w:sz w:val="24"/>
                <w:szCs w:val="24"/>
              </w:rPr>
              <w:t>供应商通过ISO9001质量管理体系认证、ISO27001信息安全管理体系认证、ISO20000信息技术服务管理体系认证证书，有一个得</w:t>
            </w:r>
            <w:r>
              <w:rPr>
                <w:rFonts w:hint="eastAsia"/>
                <w:sz w:val="24"/>
                <w:szCs w:val="24"/>
                <w:lang w:val="en-US" w:eastAsia="zh-CN"/>
              </w:rPr>
              <w:t>2</w:t>
            </w:r>
            <w:r>
              <w:rPr>
                <w:rFonts w:hint="eastAsia"/>
                <w:sz w:val="24"/>
                <w:szCs w:val="24"/>
              </w:rPr>
              <w:t>分，最多得</w:t>
            </w:r>
            <w:r>
              <w:rPr>
                <w:rFonts w:hint="eastAsia"/>
                <w:sz w:val="24"/>
                <w:szCs w:val="24"/>
                <w:lang w:val="en-US" w:eastAsia="zh-CN"/>
              </w:rPr>
              <w:t>6</w:t>
            </w:r>
            <w:r>
              <w:rPr>
                <w:rFonts w:hint="eastAsia"/>
                <w:sz w:val="24"/>
                <w:szCs w:val="24"/>
              </w:rPr>
              <w:t>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91" w:type="pct"/>
            <w:tcBorders>
              <w:tl2br w:val="nil"/>
              <w:tr2bl w:val="nil"/>
            </w:tcBorders>
            <w:noWrap w:val="0"/>
            <w:vAlign w:val="center"/>
          </w:tcPr>
          <w:p>
            <w:pPr>
              <w:bidi w:val="0"/>
              <w:rPr>
                <w:rFonts w:hint="eastAsia"/>
                <w:sz w:val="24"/>
                <w:szCs w:val="24"/>
                <w:lang w:eastAsia="zh-CN"/>
              </w:rPr>
            </w:pPr>
            <w:r>
              <w:rPr>
                <w:rFonts w:hint="eastAsia"/>
                <w:sz w:val="24"/>
                <w:szCs w:val="24"/>
              </w:rPr>
              <w:t>1.</w:t>
            </w:r>
            <w:r>
              <w:rPr>
                <w:rFonts w:hint="eastAsia"/>
                <w:sz w:val="24"/>
                <w:szCs w:val="24"/>
                <w:lang w:val="en-US" w:eastAsia="zh-CN"/>
              </w:rPr>
              <w:t>2</w:t>
            </w:r>
          </w:p>
        </w:tc>
        <w:tc>
          <w:tcPr>
            <w:tcW w:w="560" w:type="pct"/>
            <w:tcBorders>
              <w:tl2br w:val="nil"/>
              <w:tr2bl w:val="nil"/>
            </w:tcBorders>
            <w:noWrap w:val="0"/>
            <w:vAlign w:val="center"/>
          </w:tcPr>
          <w:p>
            <w:pPr>
              <w:bidi w:val="0"/>
              <w:rPr>
                <w:rFonts w:hint="eastAsia"/>
                <w:sz w:val="24"/>
                <w:szCs w:val="24"/>
              </w:rPr>
            </w:pPr>
            <w:r>
              <w:rPr>
                <w:rFonts w:hint="eastAsia"/>
                <w:sz w:val="24"/>
                <w:szCs w:val="24"/>
              </w:rPr>
              <w:t>综合</w:t>
            </w:r>
          </w:p>
          <w:p>
            <w:pPr>
              <w:bidi w:val="0"/>
              <w:rPr>
                <w:rFonts w:hint="eastAsia"/>
                <w:sz w:val="24"/>
                <w:szCs w:val="24"/>
                <w:lang w:eastAsia="zh-CN"/>
              </w:rPr>
            </w:pPr>
            <w:r>
              <w:rPr>
                <w:rFonts w:hint="eastAsia"/>
                <w:sz w:val="24"/>
                <w:szCs w:val="24"/>
              </w:rPr>
              <w:t>能力</w:t>
            </w:r>
            <w:r>
              <w:rPr>
                <w:rFonts w:hint="eastAsia"/>
                <w:sz w:val="24"/>
                <w:szCs w:val="24"/>
                <w:lang w:val="en-US" w:eastAsia="zh-CN"/>
              </w:rPr>
              <w:t>2</w:t>
            </w:r>
          </w:p>
        </w:tc>
        <w:tc>
          <w:tcPr>
            <w:tcW w:w="424" w:type="pct"/>
            <w:tcBorders>
              <w:tl2br w:val="nil"/>
              <w:tr2bl w:val="nil"/>
            </w:tcBorders>
            <w:noWrap w:val="0"/>
            <w:vAlign w:val="center"/>
          </w:tcPr>
          <w:p>
            <w:pPr>
              <w:bidi w:val="0"/>
              <w:jc w:val="center"/>
              <w:rPr>
                <w:rFonts w:hint="eastAsia"/>
                <w:sz w:val="24"/>
                <w:szCs w:val="24"/>
              </w:rPr>
            </w:pPr>
            <w:r>
              <w:rPr>
                <w:rFonts w:hint="eastAsia"/>
                <w:sz w:val="24"/>
                <w:szCs w:val="24"/>
              </w:rPr>
              <w:t>3</w:t>
            </w:r>
          </w:p>
        </w:tc>
        <w:tc>
          <w:tcPr>
            <w:tcW w:w="3523" w:type="pct"/>
            <w:tcBorders>
              <w:tl2br w:val="nil"/>
              <w:tr2bl w:val="nil"/>
            </w:tcBorders>
            <w:noWrap w:val="0"/>
            <w:vAlign w:val="center"/>
          </w:tcPr>
          <w:p>
            <w:pPr>
              <w:bidi w:val="0"/>
              <w:rPr>
                <w:rFonts w:hint="eastAsia"/>
                <w:sz w:val="24"/>
                <w:szCs w:val="24"/>
              </w:rPr>
            </w:pPr>
            <w:r>
              <w:rPr>
                <w:rFonts w:hint="eastAsia"/>
                <w:sz w:val="24"/>
                <w:szCs w:val="24"/>
              </w:rPr>
              <w:t>供应商具备CCRC信息安全风险评估服务资质二级及以上</w:t>
            </w:r>
            <w:r>
              <w:rPr>
                <w:rFonts w:hint="eastAsia"/>
                <w:sz w:val="24"/>
                <w:szCs w:val="24"/>
                <w:lang w:val="en-US" w:eastAsia="zh-CN"/>
              </w:rPr>
              <w:t>(三级最低)得3分</w:t>
            </w:r>
            <w:r>
              <w:rPr>
                <w:rFonts w:hint="eastAsia"/>
                <w:sz w:val="24"/>
                <w:szCs w:val="24"/>
              </w:rPr>
              <w:t>，没有不得分（提供证书复印件加盖公章）。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91" w:type="pct"/>
            <w:tcBorders>
              <w:tl2br w:val="nil"/>
              <w:tr2bl w:val="nil"/>
            </w:tcBorders>
            <w:noWrap w:val="0"/>
            <w:vAlign w:val="center"/>
          </w:tcPr>
          <w:p>
            <w:pPr>
              <w:bidi w:val="0"/>
              <w:rPr>
                <w:rFonts w:hint="eastAsia"/>
                <w:sz w:val="24"/>
                <w:szCs w:val="24"/>
                <w:lang w:val="en-US" w:eastAsia="zh-CN"/>
              </w:rPr>
            </w:pPr>
            <w:r>
              <w:rPr>
                <w:rFonts w:hint="eastAsia"/>
                <w:sz w:val="24"/>
                <w:szCs w:val="24"/>
                <w:lang w:val="en-US" w:eastAsia="zh-CN"/>
              </w:rPr>
              <w:t>1.3</w:t>
            </w:r>
          </w:p>
        </w:tc>
        <w:tc>
          <w:tcPr>
            <w:tcW w:w="560" w:type="pct"/>
            <w:tcBorders>
              <w:tl2br w:val="nil"/>
              <w:tr2bl w:val="nil"/>
            </w:tcBorders>
            <w:noWrap w:val="0"/>
            <w:vAlign w:val="center"/>
          </w:tcPr>
          <w:p>
            <w:pPr>
              <w:bidi w:val="0"/>
              <w:rPr>
                <w:rFonts w:hint="eastAsia"/>
                <w:sz w:val="24"/>
                <w:szCs w:val="24"/>
              </w:rPr>
            </w:pPr>
            <w:r>
              <w:rPr>
                <w:rFonts w:hint="eastAsia"/>
                <w:sz w:val="24"/>
                <w:szCs w:val="24"/>
              </w:rPr>
              <w:t>综合</w:t>
            </w:r>
          </w:p>
          <w:p>
            <w:pPr>
              <w:bidi w:val="0"/>
              <w:rPr>
                <w:rFonts w:hint="eastAsia"/>
                <w:sz w:val="24"/>
                <w:szCs w:val="24"/>
                <w:lang w:eastAsia="zh-CN"/>
              </w:rPr>
            </w:pPr>
            <w:r>
              <w:rPr>
                <w:rFonts w:hint="eastAsia"/>
                <w:sz w:val="24"/>
                <w:szCs w:val="24"/>
              </w:rPr>
              <w:t>能力</w:t>
            </w:r>
            <w:r>
              <w:rPr>
                <w:rFonts w:hint="eastAsia"/>
                <w:sz w:val="24"/>
                <w:szCs w:val="24"/>
                <w:lang w:val="en-US" w:eastAsia="zh-CN"/>
              </w:rPr>
              <w:t>3</w:t>
            </w:r>
          </w:p>
        </w:tc>
        <w:tc>
          <w:tcPr>
            <w:tcW w:w="424" w:type="pct"/>
            <w:tcBorders>
              <w:tl2br w:val="nil"/>
              <w:tr2bl w:val="nil"/>
            </w:tcBorders>
            <w:noWrap w:val="0"/>
            <w:vAlign w:val="center"/>
          </w:tcPr>
          <w:p>
            <w:pPr>
              <w:bidi w:val="0"/>
              <w:jc w:val="center"/>
              <w:rPr>
                <w:rFonts w:hint="eastAsia"/>
                <w:sz w:val="24"/>
                <w:szCs w:val="24"/>
                <w:lang w:val="en-US" w:eastAsia="zh-CN"/>
              </w:rPr>
            </w:pPr>
            <w:r>
              <w:rPr>
                <w:rFonts w:hint="eastAsia"/>
                <w:sz w:val="24"/>
                <w:szCs w:val="24"/>
                <w:lang w:val="en-US" w:eastAsia="zh-CN"/>
              </w:rPr>
              <w:t>4</w:t>
            </w:r>
          </w:p>
        </w:tc>
        <w:tc>
          <w:tcPr>
            <w:tcW w:w="3523" w:type="pct"/>
            <w:tcBorders>
              <w:tl2br w:val="nil"/>
              <w:tr2bl w:val="nil"/>
            </w:tcBorders>
            <w:noWrap w:val="0"/>
            <w:vAlign w:val="center"/>
          </w:tcPr>
          <w:p>
            <w:pPr>
              <w:bidi w:val="0"/>
              <w:rPr>
                <w:rFonts w:hint="eastAsia"/>
                <w:sz w:val="24"/>
                <w:szCs w:val="24"/>
                <w:lang w:eastAsia="zh-CN"/>
              </w:rPr>
            </w:pPr>
            <w:r>
              <w:rPr>
                <w:rFonts w:hint="eastAsia"/>
                <w:sz w:val="24"/>
                <w:szCs w:val="24"/>
                <w:lang w:eastAsia="zh-CN"/>
              </w:rPr>
              <w:t>供应商具有市级网络安全支撑单位证书的得</w:t>
            </w:r>
            <w:r>
              <w:rPr>
                <w:rFonts w:hint="eastAsia"/>
                <w:sz w:val="24"/>
                <w:szCs w:val="24"/>
                <w:lang w:val="en-US" w:eastAsia="zh-CN"/>
              </w:rPr>
              <w:t>2</w:t>
            </w:r>
            <w:r>
              <w:rPr>
                <w:rFonts w:hint="eastAsia"/>
                <w:sz w:val="24"/>
                <w:szCs w:val="24"/>
                <w:lang w:eastAsia="zh-CN"/>
              </w:rPr>
              <w:t>分，</w:t>
            </w:r>
            <w:r>
              <w:rPr>
                <w:rFonts w:hint="eastAsia"/>
                <w:sz w:val="24"/>
                <w:szCs w:val="24"/>
                <w:lang w:val="en-US" w:eastAsia="zh-CN"/>
              </w:rPr>
              <w:t>有省级及以上</w:t>
            </w:r>
            <w:r>
              <w:rPr>
                <w:rFonts w:hint="eastAsia"/>
                <w:sz w:val="24"/>
                <w:szCs w:val="24"/>
                <w:lang w:eastAsia="zh-CN"/>
              </w:rPr>
              <w:t>网络安全支撑单位证书的得</w:t>
            </w:r>
            <w:r>
              <w:rPr>
                <w:rFonts w:hint="eastAsia"/>
                <w:sz w:val="24"/>
                <w:szCs w:val="24"/>
                <w:lang w:val="en-US" w:eastAsia="zh-CN"/>
              </w:rPr>
              <w:t>4</w:t>
            </w:r>
            <w:r>
              <w:rPr>
                <w:rFonts w:hint="eastAsia"/>
                <w:sz w:val="24"/>
                <w:szCs w:val="24"/>
                <w:lang w:eastAsia="zh-CN"/>
              </w:rPr>
              <w:t>分，不提供不得分（提供证书复印件加盖公章）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91" w:type="pct"/>
            <w:tcBorders>
              <w:tl2br w:val="nil"/>
              <w:tr2bl w:val="nil"/>
            </w:tcBorders>
            <w:noWrap w:val="0"/>
            <w:vAlign w:val="center"/>
          </w:tcPr>
          <w:p>
            <w:pPr>
              <w:bidi w:val="0"/>
              <w:rPr>
                <w:rFonts w:hint="eastAsia"/>
                <w:sz w:val="24"/>
                <w:szCs w:val="24"/>
                <w:lang w:eastAsia="zh-CN"/>
              </w:rPr>
            </w:pPr>
            <w:r>
              <w:rPr>
                <w:rFonts w:hint="eastAsia"/>
                <w:sz w:val="24"/>
                <w:szCs w:val="24"/>
              </w:rPr>
              <w:t>1.</w:t>
            </w:r>
            <w:r>
              <w:rPr>
                <w:rFonts w:hint="eastAsia"/>
                <w:sz w:val="24"/>
                <w:szCs w:val="24"/>
                <w:lang w:val="en-US" w:eastAsia="zh-CN"/>
              </w:rPr>
              <w:t>4</w:t>
            </w:r>
          </w:p>
        </w:tc>
        <w:tc>
          <w:tcPr>
            <w:tcW w:w="560" w:type="pct"/>
            <w:tcBorders>
              <w:tl2br w:val="nil"/>
              <w:tr2bl w:val="nil"/>
            </w:tcBorders>
            <w:noWrap w:val="0"/>
            <w:vAlign w:val="center"/>
          </w:tcPr>
          <w:p>
            <w:pPr>
              <w:bidi w:val="0"/>
              <w:rPr>
                <w:rFonts w:hint="eastAsia"/>
                <w:sz w:val="24"/>
                <w:szCs w:val="24"/>
              </w:rPr>
            </w:pPr>
            <w:r>
              <w:rPr>
                <w:rFonts w:hint="eastAsia"/>
                <w:sz w:val="24"/>
                <w:szCs w:val="24"/>
              </w:rPr>
              <w:t>综合</w:t>
            </w:r>
          </w:p>
          <w:p>
            <w:pPr>
              <w:bidi w:val="0"/>
              <w:rPr>
                <w:rFonts w:hint="eastAsia"/>
                <w:sz w:val="24"/>
                <w:szCs w:val="24"/>
                <w:lang w:val="en-US" w:eastAsia="zh-CN"/>
              </w:rPr>
            </w:pPr>
            <w:r>
              <w:rPr>
                <w:rFonts w:hint="eastAsia"/>
                <w:sz w:val="24"/>
                <w:szCs w:val="24"/>
              </w:rPr>
              <w:t>能力</w:t>
            </w:r>
            <w:r>
              <w:rPr>
                <w:rFonts w:hint="eastAsia"/>
                <w:sz w:val="24"/>
                <w:szCs w:val="24"/>
                <w:lang w:val="en-US" w:eastAsia="zh-CN"/>
              </w:rPr>
              <w:t>4</w:t>
            </w:r>
          </w:p>
        </w:tc>
        <w:tc>
          <w:tcPr>
            <w:tcW w:w="424" w:type="pct"/>
            <w:tcBorders>
              <w:tl2br w:val="nil"/>
              <w:tr2bl w:val="nil"/>
            </w:tcBorders>
            <w:noWrap w:val="0"/>
            <w:vAlign w:val="center"/>
          </w:tcPr>
          <w:p>
            <w:pPr>
              <w:bidi w:val="0"/>
              <w:jc w:val="center"/>
              <w:rPr>
                <w:rFonts w:hint="eastAsia"/>
                <w:sz w:val="24"/>
                <w:szCs w:val="24"/>
                <w:lang w:eastAsia="zh-CN"/>
              </w:rPr>
            </w:pPr>
            <w:r>
              <w:rPr>
                <w:rFonts w:hint="eastAsia"/>
                <w:sz w:val="24"/>
                <w:szCs w:val="24"/>
                <w:lang w:val="en-US" w:eastAsia="zh-CN"/>
              </w:rPr>
              <w:t>5</w:t>
            </w:r>
          </w:p>
        </w:tc>
        <w:tc>
          <w:tcPr>
            <w:tcW w:w="3523" w:type="pct"/>
            <w:tcBorders>
              <w:tl2br w:val="nil"/>
              <w:tr2bl w:val="nil"/>
            </w:tcBorders>
            <w:noWrap w:val="0"/>
            <w:vAlign w:val="center"/>
          </w:tcPr>
          <w:p>
            <w:pPr>
              <w:bidi w:val="0"/>
              <w:rPr>
                <w:rFonts w:hint="eastAsia"/>
                <w:sz w:val="24"/>
                <w:szCs w:val="24"/>
              </w:rPr>
            </w:pPr>
            <w:r>
              <w:rPr>
                <w:rFonts w:hint="eastAsia"/>
                <w:sz w:val="24"/>
                <w:szCs w:val="24"/>
              </w:rPr>
              <w:t>供应商有信息安全等级保护关键技术国家工程实验室</w:t>
            </w:r>
            <w:r>
              <w:rPr>
                <w:rFonts w:hint="eastAsia"/>
                <w:sz w:val="24"/>
                <w:szCs w:val="24"/>
                <w:lang w:val="en-US" w:eastAsia="zh-CN"/>
              </w:rPr>
              <w:t>或分实验室</w:t>
            </w:r>
            <w:r>
              <w:rPr>
                <w:rFonts w:hint="eastAsia"/>
                <w:sz w:val="24"/>
                <w:szCs w:val="24"/>
              </w:rPr>
              <w:t>作为技术支撑的得</w:t>
            </w:r>
            <w:r>
              <w:rPr>
                <w:rFonts w:hint="eastAsia"/>
                <w:sz w:val="24"/>
                <w:szCs w:val="24"/>
                <w:lang w:val="en-US" w:eastAsia="zh-CN"/>
              </w:rPr>
              <w:t>5</w:t>
            </w:r>
            <w:r>
              <w:rPr>
                <w:rFonts w:hint="eastAsia"/>
                <w:sz w:val="24"/>
                <w:szCs w:val="24"/>
              </w:rPr>
              <w:t>分（提供合作协议证明）；没有不得分。（提供正式的合作协议复印件并加盖供应商公章，</w:t>
            </w:r>
            <w:r>
              <w:rPr>
                <w:rFonts w:hint="eastAsia"/>
                <w:sz w:val="24"/>
                <w:szCs w:val="24"/>
                <w:lang w:val="en-US" w:eastAsia="zh-CN"/>
              </w:rPr>
              <w:t>中标后审核原件</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91" w:type="pct"/>
            <w:tcBorders>
              <w:tl2br w:val="nil"/>
              <w:tr2bl w:val="nil"/>
            </w:tcBorders>
            <w:noWrap w:val="0"/>
            <w:vAlign w:val="center"/>
          </w:tcPr>
          <w:p>
            <w:pPr>
              <w:bidi w:val="0"/>
              <w:rPr>
                <w:rFonts w:hint="eastAsia"/>
                <w:sz w:val="24"/>
                <w:szCs w:val="24"/>
                <w:lang w:val="en-US" w:eastAsia="zh-CN"/>
              </w:rPr>
            </w:pPr>
            <w:r>
              <w:rPr>
                <w:rFonts w:hint="eastAsia"/>
                <w:sz w:val="24"/>
                <w:szCs w:val="24"/>
                <w:lang w:val="en-US" w:eastAsia="zh-CN"/>
              </w:rPr>
              <w:t>1.5</w:t>
            </w:r>
          </w:p>
        </w:tc>
        <w:tc>
          <w:tcPr>
            <w:tcW w:w="560" w:type="pct"/>
            <w:tcBorders>
              <w:tl2br w:val="nil"/>
              <w:tr2bl w:val="nil"/>
            </w:tcBorders>
            <w:noWrap w:val="0"/>
            <w:vAlign w:val="center"/>
          </w:tcPr>
          <w:p>
            <w:pPr>
              <w:bidi w:val="0"/>
              <w:rPr>
                <w:rFonts w:hint="eastAsia"/>
                <w:sz w:val="24"/>
                <w:szCs w:val="24"/>
              </w:rPr>
            </w:pPr>
            <w:r>
              <w:rPr>
                <w:rFonts w:hint="eastAsia"/>
                <w:sz w:val="24"/>
                <w:szCs w:val="24"/>
              </w:rPr>
              <w:t>综合</w:t>
            </w:r>
          </w:p>
          <w:p>
            <w:pPr>
              <w:bidi w:val="0"/>
              <w:rPr>
                <w:rFonts w:hint="eastAsia"/>
                <w:sz w:val="24"/>
                <w:szCs w:val="24"/>
              </w:rPr>
            </w:pPr>
            <w:r>
              <w:rPr>
                <w:rFonts w:hint="eastAsia"/>
                <w:sz w:val="24"/>
                <w:szCs w:val="24"/>
              </w:rPr>
              <w:t>能力</w:t>
            </w:r>
            <w:r>
              <w:rPr>
                <w:rFonts w:hint="eastAsia"/>
                <w:sz w:val="24"/>
                <w:szCs w:val="24"/>
                <w:lang w:val="en-US" w:eastAsia="zh-CN"/>
              </w:rPr>
              <w:t>5</w:t>
            </w:r>
          </w:p>
        </w:tc>
        <w:tc>
          <w:tcPr>
            <w:tcW w:w="424" w:type="pct"/>
            <w:tcBorders>
              <w:tl2br w:val="nil"/>
              <w:tr2bl w:val="nil"/>
            </w:tcBorders>
            <w:noWrap w:val="0"/>
            <w:vAlign w:val="center"/>
          </w:tcPr>
          <w:p>
            <w:pPr>
              <w:bidi w:val="0"/>
              <w:jc w:val="center"/>
              <w:rPr>
                <w:rFonts w:hint="eastAsia"/>
                <w:sz w:val="24"/>
                <w:szCs w:val="24"/>
                <w:lang w:val="en-US" w:eastAsia="zh-CN"/>
              </w:rPr>
            </w:pPr>
            <w:r>
              <w:rPr>
                <w:rFonts w:hint="eastAsia"/>
                <w:sz w:val="24"/>
                <w:szCs w:val="24"/>
                <w:lang w:val="en-US" w:eastAsia="zh-CN"/>
              </w:rPr>
              <w:t>4</w:t>
            </w:r>
          </w:p>
        </w:tc>
        <w:tc>
          <w:tcPr>
            <w:tcW w:w="3523" w:type="pct"/>
            <w:tcBorders>
              <w:tl2br w:val="nil"/>
              <w:tr2bl w:val="nil"/>
            </w:tcBorders>
            <w:noWrap w:val="0"/>
            <w:vAlign w:val="center"/>
          </w:tcPr>
          <w:p>
            <w:pPr>
              <w:bidi w:val="0"/>
              <w:rPr>
                <w:rFonts w:hint="eastAsia"/>
                <w:sz w:val="24"/>
                <w:szCs w:val="24"/>
                <w:lang w:val="en-US" w:eastAsia="zh-CN"/>
              </w:rPr>
            </w:pPr>
            <w:r>
              <w:rPr>
                <w:rFonts w:hint="eastAsia"/>
                <w:sz w:val="24"/>
                <w:szCs w:val="24"/>
              </w:rPr>
              <w:t>供应商有ITSS-信息技术服务运行维护标准符合性证书</w:t>
            </w:r>
            <w:r>
              <w:rPr>
                <w:rFonts w:hint="eastAsia"/>
                <w:sz w:val="24"/>
                <w:szCs w:val="24"/>
                <w:lang w:val="en-US" w:eastAsia="zh-CN"/>
              </w:rPr>
              <w:t>四级得2分，三级及以上得4分，</w:t>
            </w:r>
            <w:r>
              <w:rPr>
                <w:rFonts w:hint="eastAsia"/>
                <w:sz w:val="24"/>
                <w:szCs w:val="24"/>
              </w:rPr>
              <w:t>没有不得分（提供证明文件加盖公章）。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491" w:type="pct"/>
            <w:tcBorders>
              <w:tl2br w:val="nil"/>
              <w:tr2bl w:val="nil"/>
            </w:tcBorders>
            <w:noWrap w:val="0"/>
            <w:vAlign w:val="center"/>
          </w:tcPr>
          <w:p>
            <w:pPr>
              <w:bidi w:val="0"/>
              <w:rPr>
                <w:rFonts w:hint="eastAsia"/>
                <w:sz w:val="24"/>
                <w:szCs w:val="24"/>
              </w:rPr>
            </w:pPr>
            <w:r>
              <w:rPr>
                <w:rFonts w:hint="eastAsia"/>
                <w:sz w:val="24"/>
                <w:szCs w:val="24"/>
              </w:rPr>
              <w:t>2</w:t>
            </w:r>
          </w:p>
        </w:tc>
        <w:tc>
          <w:tcPr>
            <w:tcW w:w="560" w:type="pct"/>
            <w:tcBorders>
              <w:tl2br w:val="nil"/>
              <w:tr2bl w:val="nil"/>
            </w:tcBorders>
            <w:noWrap w:val="0"/>
            <w:vAlign w:val="center"/>
          </w:tcPr>
          <w:p>
            <w:pPr>
              <w:bidi w:val="0"/>
              <w:rPr>
                <w:rFonts w:hint="eastAsia"/>
                <w:sz w:val="24"/>
                <w:szCs w:val="24"/>
              </w:rPr>
            </w:pPr>
            <w:r>
              <w:rPr>
                <w:rFonts w:hint="eastAsia"/>
                <w:sz w:val="24"/>
                <w:szCs w:val="24"/>
              </w:rPr>
              <w:t>人员资质</w:t>
            </w:r>
          </w:p>
        </w:tc>
        <w:tc>
          <w:tcPr>
            <w:tcW w:w="424" w:type="pct"/>
            <w:tcBorders>
              <w:tl2br w:val="nil"/>
              <w:tr2bl w:val="nil"/>
            </w:tcBorders>
            <w:noWrap w:val="0"/>
            <w:vAlign w:val="center"/>
          </w:tcPr>
          <w:p>
            <w:pPr>
              <w:bidi w:val="0"/>
              <w:rPr>
                <w:rFonts w:hint="eastAsia"/>
                <w:sz w:val="24"/>
                <w:szCs w:val="24"/>
                <w:lang w:val="en-US" w:eastAsia="zh-CN"/>
              </w:rPr>
            </w:pPr>
            <w:r>
              <w:rPr>
                <w:rFonts w:hint="eastAsia"/>
                <w:sz w:val="24"/>
                <w:szCs w:val="24"/>
                <w:lang w:val="en-US" w:eastAsia="zh-CN"/>
              </w:rPr>
              <w:t>21</w:t>
            </w:r>
          </w:p>
        </w:tc>
        <w:tc>
          <w:tcPr>
            <w:tcW w:w="3523" w:type="pct"/>
            <w:tcBorders>
              <w:tl2br w:val="nil"/>
              <w:tr2bl w:val="nil"/>
            </w:tcBorders>
            <w:noWrap w:val="0"/>
            <w:vAlign w:val="center"/>
          </w:tcPr>
          <w:p>
            <w:pPr>
              <w:bidi w:val="0"/>
              <w:rPr>
                <w:rFonts w:hint="eastAsia"/>
                <w:sz w:val="24"/>
                <w:szCs w:val="24"/>
                <w:lang w:val="en-US" w:eastAsia="zh-CN"/>
              </w:rPr>
            </w:pPr>
            <w:r>
              <w:rPr>
                <w:rFonts w:hint="eastAsia"/>
                <w:sz w:val="24"/>
                <w:szCs w:val="24"/>
                <w:lang w:val="en-US" w:eastAsia="zh-CN"/>
              </w:rPr>
              <w:t>1、</w:t>
            </w:r>
            <w:r>
              <w:rPr>
                <w:rFonts w:hint="eastAsia"/>
                <w:sz w:val="24"/>
                <w:szCs w:val="24"/>
              </w:rPr>
              <w:t>本项目拟派团队的项目经理有</w:t>
            </w:r>
            <w:r>
              <w:rPr>
                <w:rFonts w:hint="eastAsia"/>
                <w:sz w:val="24"/>
                <w:szCs w:val="24"/>
                <w:lang w:val="en-US" w:eastAsia="zh-CN"/>
              </w:rPr>
              <w:t>注册数据安全治理专业人员</w:t>
            </w:r>
            <w:r>
              <w:rPr>
                <w:rFonts w:hint="eastAsia"/>
                <w:sz w:val="24"/>
                <w:szCs w:val="24"/>
              </w:rPr>
              <w:t>CISP</w:t>
            </w:r>
            <w:r>
              <w:rPr>
                <w:rFonts w:hint="eastAsia"/>
                <w:sz w:val="24"/>
                <w:szCs w:val="24"/>
                <w:lang w:val="en-US" w:eastAsia="zh-CN"/>
              </w:rPr>
              <w:t>-DSG证书</w:t>
            </w:r>
            <w:r>
              <w:rPr>
                <w:rFonts w:hint="eastAsia"/>
                <w:sz w:val="24"/>
                <w:szCs w:val="24"/>
              </w:rPr>
              <w:t>的得</w:t>
            </w:r>
            <w:r>
              <w:rPr>
                <w:rFonts w:hint="eastAsia"/>
                <w:sz w:val="24"/>
                <w:szCs w:val="24"/>
                <w:lang w:val="en-US" w:eastAsia="zh-CN"/>
              </w:rPr>
              <w:t>2</w:t>
            </w:r>
            <w:r>
              <w:rPr>
                <w:rFonts w:hint="eastAsia"/>
                <w:sz w:val="24"/>
                <w:szCs w:val="24"/>
              </w:rPr>
              <w:t>分，有</w:t>
            </w:r>
            <w:r>
              <w:rPr>
                <w:rFonts w:hint="eastAsia"/>
                <w:sz w:val="24"/>
                <w:szCs w:val="24"/>
                <w:lang w:val="en-US" w:eastAsia="zh-CN"/>
              </w:rPr>
              <w:t>工信部颁发的</w:t>
            </w:r>
            <w:r>
              <w:rPr>
                <w:rFonts w:hint="eastAsia"/>
                <w:sz w:val="24"/>
                <w:szCs w:val="24"/>
              </w:rPr>
              <w:t>“信息安全工程师”证书得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rPr>
              <w:t>具</w:t>
            </w:r>
            <w:r>
              <w:rPr>
                <w:rFonts w:hint="eastAsia"/>
                <w:sz w:val="24"/>
                <w:szCs w:val="24"/>
                <w:lang w:val="en-US" w:eastAsia="zh-CN"/>
              </w:rPr>
              <w:t>有CCRC数据安全官证书的</w:t>
            </w:r>
            <w:r>
              <w:rPr>
                <w:rFonts w:hint="eastAsia"/>
                <w:sz w:val="24"/>
                <w:szCs w:val="24"/>
              </w:rPr>
              <w:t>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lang w:val="en-US" w:eastAsia="zh-CN"/>
              </w:rPr>
              <w:t>有工信部门批准颁发的“数据安全工程师”证书的得2分，有信息安全风险评估与管理培训证书的得2分，最高得10分；</w:t>
            </w:r>
          </w:p>
          <w:p>
            <w:pPr>
              <w:bidi w:val="0"/>
              <w:rPr>
                <w:rFonts w:hint="eastAsia"/>
                <w:sz w:val="24"/>
                <w:szCs w:val="24"/>
                <w:lang w:val="en-US" w:eastAsia="zh-CN"/>
              </w:rPr>
            </w:pPr>
            <w:r>
              <w:rPr>
                <w:rFonts w:hint="eastAsia"/>
                <w:sz w:val="24"/>
                <w:szCs w:val="24"/>
                <w:lang w:val="en-US" w:eastAsia="zh-CN"/>
              </w:rPr>
              <w:t>2、除项目经理外项目组其他人员</w:t>
            </w:r>
            <w:r>
              <w:rPr>
                <w:rFonts w:hint="eastAsia"/>
                <w:sz w:val="24"/>
                <w:szCs w:val="24"/>
              </w:rPr>
              <w:t>具有网络安全服务能力评价证书CCSS-M（安全管理能力认证中级）的</w:t>
            </w:r>
            <w:r>
              <w:rPr>
                <w:rFonts w:hint="eastAsia"/>
                <w:sz w:val="24"/>
                <w:szCs w:val="24"/>
                <w:lang w:val="en-US" w:eastAsia="zh-CN"/>
              </w:rPr>
              <w:t>有一个</w:t>
            </w:r>
            <w:r>
              <w:rPr>
                <w:rFonts w:hint="eastAsia"/>
                <w:sz w:val="24"/>
                <w:szCs w:val="24"/>
              </w:rPr>
              <w:t>得</w:t>
            </w:r>
            <w:r>
              <w:rPr>
                <w:rFonts w:hint="eastAsia"/>
                <w:sz w:val="24"/>
                <w:szCs w:val="24"/>
                <w:lang w:val="en-US" w:eastAsia="zh-CN"/>
              </w:rPr>
              <w:t>2</w:t>
            </w:r>
            <w:r>
              <w:rPr>
                <w:rFonts w:hint="eastAsia"/>
                <w:sz w:val="24"/>
                <w:szCs w:val="24"/>
              </w:rPr>
              <w:t>分</w:t>
            </w:r>
            <w:r>
              <w:rPr>
                <w:rFonts w:hint="eastAsia"/>
                <w:sz w:val="24"/>
                <w:szCs w:val="24"/>
                <w:lang w:eastAsia="zh-CN"/>
              </w:rPr>
              <w:t>，</w:t>
            </w:r>
            <w:r>
              <w:rPr>
                <w:rFonts w:hint="eastAsia"/>
                <w:sz w:val="24"/>
                <w:szCs w:val="24"/>
                <w:lang w:val="en-US" w:eastAsia="zh-CN"/>
              </w:rPr>
              <w:t>最高得4分；</w:t>
            </w:r>
          </w:p>
          <w:p>
            <w:pPr>
              <w:bidi w:val="0"/>
              <w:rPr>
                <w:rFonts w:hint="eastAsia"/>
                <w:sz w:val="24"/>
                <w:szCs w:val="24"/>
                <w:lang w:eastAsia="zh-CN"/>
              </w:rPr>
            </w:pPr>
            <w:r>
              <w:rPr>
                <w:rFonts w:hint="eastAsia"/>
                <w:sz w:val="24"/>
                <w:szCs w:val="24"/>
                <w:lang w:val="en-US" w:eastAsia="zh-CN"/>
              </w:rPr>
              <w:t>3、除项目经理外项目组其他人员</w:t>
            </w:r>
            <w:r>
              <w:rPr>
                <w:rFonts w:hint="eastAsia"/>
                <w:sz w:val="24"/>
                <w:szCs w:val="24"/>
              </w:rPr>
              <w:t>具有信息安全保障人员认证证书CISAW</w:t>
            </w:r>
            <w:r>
              <w:rPr>
                <w:rFonts w:hint="eastAsia"/>
                <w:sz w:val="24"/>
                <w:szCs w:val="24"/>
                <w:lang w:val="en-US" w:eastAsia="zh-CN"/>
              </w:rPr>
              <w:t>(</w:t>
            </w:r>
            <w:r>
              <w:rPr>
                <w:rFonts w:hint="eastAsia"/>
                <w:sz w:val="24"/>
                <w:szCs w:val="24"/>
              </w:rPr>
              <w:t>安全运维</w:t>
            </w:r>
            <w:r>
              <w:rPr>
                <w:rFonts w:hint="eastAsia"/>
                <w:sz w:val="24"/>
                <w:szCs w:val="24"/>
                <w:lang w:val="en-US" w:eastAsia="zh-CN"/>
              </w:rPr>
              <w:t>专业级)的</w:t>
            </w:r>
            <w:r>
              <w:rPr>
                <w:rFonts w:hint="eastAsia"/>
                <w:sz w:val="24"/>
                <w:szCs w:val="24"/>
              </w:rPr>
              <w:t>得</w:t>
            </w:r>
            <w:r>
              <w:rPr>
                <w:rFonts w:hint="eastAsia"/>
                <w:sz w:val="24"/>
                <w:szCs w:val="24"/>
                <w:lang w:val="en-US" w:eastAsia="zh-CN"/>
              </w:rPr>
              <w:t>2</w:t>
            </w:r>
            <w:r>
              <w:rPr>
                <w:rFonts w:hint="eastAsia"/>
                <w:sz w:val="24"/>
                <w:szCs w:val="24"/>
              </w:rPr>
              <w:t>分</w:t>
            </w:r>
            <w:r>
              <w:rPr>
                <w:rFonts w:hint="eastAsia"/>
                <w:sz w:val="24"/>
                <w:szCs w:val="24"/>
                <w:lang w:eastAsia="zh-CN"/>
              </w:rPr>
              <w:t>；</w:t>
            </w:r>
          </w:p>
          <w:p>
            <w:pPr>
              <w:bidi w:val="0"/>
              <w:rPr>
                <w:rFonts w:hint="eastAsia"/>
                <w:sz w:val="24"/>
                <w:szCs w:val="24"/>
                <w:lang w:val="en-US" w:eastAsia="zh-CN"/>
              </w:rPr>
            </w:pPr>
            <w:r>
              <w:rPr>
                <w:rFonts w:hint="eastAsia"/>
                <w:sz w:val="24"/>
                <w:szCs w:val="24"/>
                <w:lang w:val="en-US" w:eastAsia="zh-CN"/>
              </w:rPr>
              <w:t>4、除项目经理外项目组其他人员</w:t>
            </w:r>
            <w:r>
              <w:rPr>
                <w:rFonts w:hint="eastAsia"/>
                <w:sz w:val="24"/>
                <w:szCs w:val="24"/>
              </w:rPr>
              <w:t>具有注册信息安全渗透测试工程</w:t>
            </w:r>
            <w:r>
              <w:rPr>
                <w:rFonts w:hint="eastAsia"/>
                <w:sz w:val="24"/>
                <w:szCs w:val="24"/>
                <w:lang w:eastAsia="zh-CN"/>
              </w:rPr>
              <w:t>（</w:t>
            </w:r>
            <w:r>
              <w:rPr>
                <w:rFonts w:hint="eastAsia"/>
                <w:sz w:val="24"/>
                <w:szCs w:val="24"/>
              </w:rPr>
              <w:t>CISP-PTE</w:t>
            </w:r>
            <w:r>
              <w:rPr>
                <w:rFonts w:hint="eastAsia"/>
                <w:sz w:val="24"/>
                <w:szCs w:val="24"/>
                <w:lang w:eastAsia="zh-CN"/>
              </w:rPr>
              <w:t>）</w:t>
            </w:r>
            <w:r>
              <w:rPr>
                <w:rFonts w:hint="eastAsia"/>
                <w:sz w:val="24"/>
                <w:szCs w:val="24"/>
                <w:lang w:val="en-US" w:eastAsia="zh-CN"/>
              </w:rPr>
              <w:t>的</w:t>
            </w:r>
            <w:r>
              <w:rPr>
                <w:rFonts w:hint="eastAsia"/>
                <w:sz w:val="24"/>
                <w:szCs w:val="24"/>
              </w:rPr>
              <w:t>得</w:t>
            </w:r>
            <w:r>
              <w:rPr>
                <w:rFonts w:hint="eastAsia"/>
                <w:sz w:val="24"/>
                <w:szCs w:val="24"/>
                <w:lang w:val="en-US" w:eastAsia="zh-CN"/>
              </w:rPr>
              <w:t>2分；</w:t>
            </w:r>
          </w:p>
          <w:p>
            <w:pPr>
              <w:bidi w:val="0"/>
              <w:rPr>
                <w:rFonts w:hint="eastAsia"/>
                <w:sz w:val="24"/>
                <w:szCs w:val="24"/>
                <w:lang w:val="en-US" w:eastAsia="zh-CN"/>
              </w:rPr>
            </w:pPr>
            <w:r>
              <w:rPr>
                <w:rFonts w:hint="eastAsia"/>
                <w:sz w:val="24"/>
                <w:szCs w:val="24"/>
                <w:lang w:val="en-US" w:eastAsia="zh-CN"/>
              </w:rPr>
              <w:t>5、</w:t>
            </w:r>
            <w:r>
              <w:rPr>
                <w:rFonts w:hint="eastAsia"/>
                <w:sz w:val="24"/>
                <w:szCs w:val="24"/>
              </w:rPr>
              <w:t>除项目经理外，本项目拟派</w:t>
            </w:r>
            <w:r>
              <w:rPr>
                <w:rFonts w:hint="eastAsia"/>
                <w:sz w:val="24"/>
                <w:szCs w:val="24"/>
                <w:lang w:eastAsia="zh-CN"/>
              </w:rPr>
              <w:t>项目组成员</w:t>
            </w:r>
            <w:r>
              <w:rPr>
                <w:rFonts w:hint="eastAsia"/>
                <w:sz w:val="24"/>
                <w:szCs w:val="24"/>
              </w:rPr>
              <w:t>中持有</w:t>
            </w:r>
            <w:r>
              <w:rPr>
                <w:rFonts w:hint="eastAsia"/>
                <w:sz w:val="24"/>
                <w:szCs w:val="24"/>
                <w:lang w:val="en-US" w:eastAsia="zh-CN"/>
              </w:rPr>
              <w:t>ISG技能鉴定证书/参赛证书的</w:t>
            </w:r>
            <w:r>
              <w:rPr>
                <w:rFonts w:hint="eastAsia"/>
                <w:sz w:val="24"/>
                <w:szCs w:val="24"/>
              </w:rPr>
              <w:t>得</w:t>
            </w:r>
            <w:r>
              <w:rPr>
                <w:rFonts w:hint="eastAsia"/>
                <w:sz w:val="24"/>
                <w:szCs w:val="24"/>
                <w:lang w:val="en-US" w:eastAsia="zh-CN"/>
              </w:rPr>
              <w:t>3</w:t>
            </w:r>
            <w:r>
              <w:rPr>
                <w:rFonts w:hint="eastAsia"/>
                <w:sz w:val="24"/>
                <w:szCs w:val="24"/>
              </w:rPr>
              <w:t>分；</w:t>
            </w:r>
          </w:p>
          <w:p>
            <w:pPr>
              <w:bidi w:val="0"/>
              <w:rPr>
                <w:rFonts w:hint="eastAsia"/>
                <w:sz w:val="24"/>
                <w:szCs w:val="24"/>
                <w:lang w:val="en-US" w:eastAsia="zh-CN"/>
              </w:rPr>
            </w:pPr>
            <w:r>
              <w:rPr>
                <w:rFonts w:hint="eastAsia"/>
                <w:sz w:val="24"/>
                <w:szCs w:val="24"/>
                <w:lang w:val="en-US" w:eastAsia="zh-CN"/>
              </w:rPr>
              <w:t>证明材料：</w:t>
            </w:r>
          </w:p>
          <w:p>
            <w:pPr>
              <w:bidi w:val="0"/>
              <w:rPr>
                <w:rFonts w:hint="eastAsia"/>
                <w:sz w:val="24"/>
                <w:szCs w:val="24"/>
              </w:rPr>
            </w:pPr>
            <w:r>
              <w:rPr>
                <w:rFonts w:hint="eastAsia"/>
                <w:sz w:val="24"/>
                <w:szCs w:val="24"/>
                <w:lang w:val="en-US" w:eastAsia="zh-CN"/>
              </w:rPr>
              <w:t>1、</w:t>
            </w:r>
            <w:r>
              <w:rPr>
                <w:rFonts w:hint="eastAsia"/>
                <w:sz w:val="24"/>
                <w:szCs w:val="24"/>
              </w:rPr>
              <w:t>提供上述人员证书原件扫描件，电子档证书提供查询渠道。</w:t>
            </w:r>
          </w:p>
          <w:p>
            <w:pPr>
              <w:bidi w:val="0"/>
              <w:rPr>
                <w:rFonts w:hint="eastAsia"/>
                <w:sz w:val="24"/>
                <w:szCs w:val="24"/>
                <w:lang w:val="en-US"/>
              </w:rPr>
            </w:pPr>
            <w:r>
              <w:rPr>
                <w:rFonts w:hint="eastAsia"/>
                <w:sz w:val="24"/>
                <w:szCs w:val="24"/>
                <w:lang w:val="en-US" w:eastAsia="zh-CN"/>
              </w:rPr>
              <w:t>2、提供上述成员供应商为其缴纳2023年1月至2023年11月任意一个月的社保缴费证明。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491" w:type="pct"/>
            <w:tcBorders>
              <w:tl2br w:val="nil"/>
              <w:tr2bl w:val="nil"/>
            </w:tcBorders>
            <w:noWrap w:val="0"/>
            <w:vAlign w:val="center"/>
          </w:tcPr>
          <w:p>
            <w:pPr>
              <w:bidi w:val="0"/>
              <w:rPr>
                <w:rFonts w:hint="eastAsia"/>
                <w:sz w:val="24"/>
                <w:szCs w:val="24"/>
              </w:rPr>
            </w:pPr>
            <w:r>
              <w:rPr>
                <w:rFonts w:hint="eastAsia"/>
                <w:sz w:val="24"/>
                <w:szCs w:val="24"/>
              </w:rPr>
              <w:t>3</w:t>
            </w:r>
          </w:p>
        </w:tc>
        <w:tc>
          <w:tcPr>
            <w:tcW w:w="560" w:type="pct"/>
            <w:tcBorders>
              <w:tl2br w:val="nil"/>
              <w:tr2bl w:val="nil"/>
            </w:tcBorders>
            <w:noWrap w:val="0"/>
            <w:vAlign w:val="center"/>
          </w:tcPr>
          <w:p>
            <w:pPr>
              <w:bidi w:val="0"/>
              <w:rPr>
                <w:rFonts w:hint="eastAsia"/>
                <w:sz w:val="24"/>
                <w:szCs w:val="24"/>
              </w:rPr>
            </w:pPr>
            <w:r>
              <w:rPr>
                <w:rFonts w:hint="eastAsia"/>
                <w:sz w:val="24"/>
                <w:szCs w:val="24"/>
                <w:lang w:val="en-US" w:eastAsia="zh-CN"/>
              </w:rPr>
              <w:t>安全运维服务</w:t>
            </w:r>
            <w:r>
              <w:rPr>
                <w:rFonts w:hint="eastAsia"/>
                <w:sz w:val="24"/>
                <w:szCs w:val="24"/>
              </w:rPr>
              <w:t>方案</w:t>
            </w:r>
          </w:p>
        </w:tc>
        <w:tc>
          <w:tcPr>
            <w:tcW w:w="424" w:type="pct"/>
            <w:tcBorders>
              <w:tl2br w:val="nil"/>
              <w:tr2bl w:val="nil"/>
            </w:tcBorders>
            <w:noWrap w:val="0"/>
            <w:vAlign w:val="center"/>
          </w:tcPr>
          <w:p>
            <w:pPr>
              <w:bidi w:val="0"/>
              <w:jc w:val="center"/>
              <w:rPr>
                <w:rFonts w:hint="eastAsia"/>
                <w:sz w:val="24"/>
                <w:szCs w:val="24"/>
                <w:lang w:val="en-US" w:eastAsia="zh-CN"/>
              </w:rPr>
            </w:pPr>
            <w:r>
              <w:rPr>
                <w:rFonts w:hint="eastAsia"/>
                <w:sz w:val="24"/>
                <w:szCs w:val="24"/>
                <w:lang w:val="en-US" w:eastAsia="zh-CN"/>
              </w:rPr>
              <w:t>20</w:t>
            </w:r>
          </w:p>
        </w:tc>
        <w:tc>
          <w:tcPr>
            <w:tcW w:w="3523" w:type="pct"/>
            <w:tcBorders>
              <w:tl2br w:val="nil"/>
              <w:tr2bl w:val="nil"/>
            </w:tcBorders>
            <w:noWrap w:val="0"/>
            <w:vAlign w:val="center"/>
          </w:tcPr>
          <w:p>
            <w:pPr>
              <w:bidi w:val="0"/>
              <w:rPr>
                <w:rFonts w:hint="default"/>
                <w:sz w:val="24"/>
                <w:szCs w:val="24"/>
                <w:lang w:val="en-US" w:eastAsia="zh-CN"/>
              </w:rPr>
            </w:pPr>
            <w:r>
              <w:rPr>
                <w:rFonts w:hint="eastAsia"/>
                <w:sz w:val="24"/>
                <w:szCs w:val="24"/>
              </w:rPr>
              <w:t>供应商根据招标需求进行网络安全服务的方案设计。方案内容优于或完全响应，能结合项目实际情况，提出较完善的业务连续性方案，最贴近采购人系统现状、最科学合理的方案得</w:t>
            </w:r>
            <w:r>
              <w:rPr>
                <w:rFonts w:hint="eastAsia"/>
                <w:sz w:val="24"/>
                <w:szCs w:val="24"/>
                <w:lang w:val="en-US" w:eastAsia="zh-CN"/>
              </w:rPr>
              <w:t>20~17</w:t>
            </w:r>
            <w:r>
              <w:rPr>
                <w:rFonts w:hint="eastAsia"/>
                <w:sz w:val="24"/>
                <w:szCs w:val="24"/>
              </w:rPr>
              <w:t>分；方案内容完全响应，基本符合规范要求，基本贴近采购人系统现状、基本科学合理的方案得</w:t>
            </w:r>
            <w:r>
              <w:rPr>
                <w:rFonts w:hint="eastAsia"/>
                <w:sz w:val="24"/>
                <w:szCs w:val="24"/>
                <w:lang w:val="en-US" w:eastAsia="zh-CN"/>
              </w:rPr>
              <w:t>16~11</w:t>
            </w:r>
            <w:r>
              <w:rPr>
                <w:rFonts w:hint="eastAsia"/>
                <w:sz w:val="24"/>
                <w:szCs w:val="24"/>
              </w:rPr>
              <w:t>分；方案较简单，内容响应不完整，重复罗列招标文件的要求得</w:t>
            </w:r>
            <w:r>
              <w:rPr>
                <w:rFonts w:hint="eastAsia"/>
                <w:sz w:val="24"/>
                <w:szCs w:val="24"/>
                <w:lang w:val="en-US" w:eastAsia="zh-CN"/>
              </w:rPr>
              <w:t>10~5</w:t>
            </w:r>
            <w:r>
              <w:rPr>
                <w:rFonts w:hint="eastAsia"/>
                <w:sz w:val="24"/>
                <w:szCs w:val="24"/>
              </w:rPr>
              <w:t>分</w:t>
            </w:r>
            <w:r>
              <w:rPr>
                <w:rFonts w:hint="eastAsia"/>
                <w:sz w:val="24"/>
                <w:szCs w:val="24"/>
                <w:lang w:eastAsia="zh-CN"/>
              </w:rPr>
              <w:t>，</w:t>
            </w:r>
            <w:r>
              <w:rPr>
                <w:rFonts w:hint="eastAsia"/>
                <w:sz w:val="24"/>
                <w:szCs w:val="24"/>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91" w:type="pct"/>
            <w:tcBorders>
              <w:tl2br w:val="nil"/>
              <w:tr2bl w:val="nil"/>
            </w:tcBorders>
            <w:noWrap w:val="0"/>
            <w:vAlign w:val="center"/>
          </w:tcPr>
          <w:p>
            <w:pPr>
              <w:bidi w:val="0"/>
              <w:rPr>
                <w:rFonts w:hint="eastAsia"/>
                <w:sz w:val="24"/>
                <w:szCs w:val="24"/>
                <w:lang w:eastAsia="zh-CN"/>
              </w:rPr>
            </w:pPr>
            <w:r>
              <w:rPr>
                <w:rFonts w:hint="eastAsia"/>
                <w:sz w:val="24"/>
                <w:szCs w:val="24"/>
                <w:lang w:val="en-US" w:eastAsia="zh-CN"/>
              </w:rPr>
              <w:t>4</w:t>
            </w:r>
          </w:p>
        </w:tc>
        <w:tc>
          <w:tcPr>
            <w:tcW w:w="560" w:type="pct"/>
            <w:tcBorders>
              <w:tl2br w:val="nil"/>
              <w:tr2bl w:val="nil"/>
            </w:tcBorders>
            <w:noWrap w:val="0"/>
            <w:vAlign w:val="center"/>
          </w:tcPr>
          <w:p>
            <w:pPr>
              <w:bidi w:val="0"/>
              <w:rPr>
                <w:rFonts w:hint="eastAsia"/>
                <w:sz w:val="24"/>
                <w:szCs w:val="24"/>
              </w:rPr>
            </w:pPr>
            <w:r>
              <w:rPr>
                <w:rFonts w:hint="eastAsia"/>
                <w:sz w:val="24"/>
                <w:szCs w:val="24"/>
              </w:rPr>
              <w:t>案例</w:t>
            </w:r>
          </w:p>
        </w:tc>
        <w:tc>
          <w:tcPr>
            <w:tcW w:w="424" w:type="pct"/>
            <w:tcBorders>
              <w:tl2br w:val="nil"/>
              <w:tr2bl w:val="nil"/>
            </w:tcBorders>
            <w:noWrap w:val="0"/>
            <w:vAlign w:val="center"/>
          </w:tcPr>
          <w:p>
            <w:pPr>
              <w:bidi w:val="0"/>
              <w:jc w:val="center"/>
              <w:rPr>
                <w:rFonts w:hint="default"/>
                <w:sz w:val="24"/>
                <w:szCs w:val="24"/>
                <w:lang w:val="en-US" w:eastAsia="zh-CN"/>
              </w:rPr>
            </w:pPr>
            <w:r>
              <w:rPr>
                <w:rFonts w:hint="eastAsia"/>
                <w:sz w:val="24"/>
                <w:szCs w:val="24"/>
                <w:lang w:val="en-US" w:eastAsia="zh-CN"/>
              </w:rPr>
              <w:t>12</w:t>
            </w:r>
          </w:p>
        </w:tc>
        <w:tc>
          <w:tcPr>
            <w:tcW w:w="3523" w:type="pct"/>
            <w:tcBorders>
              <w:tl2br w:val="nil"/>
              <w:tr2bl w:val="nil"/>
            </w:tcBorders>
            <w:noWrap w:val="0"/>
            <w:vAlign w:val="center"/>
          </w:tcPr>
          <w:p>
            <w:pPr>
              <w:bidi w:val="0"/>
              <w:rPr>
                <w:rFonts w:hint="eastAsia"/>
                <w:sz w:val="24"/>
                <w:szCs w:val="24"/>
              </w:rPr>
            </w:pPr>
            <w:r>
              <w:rPr>
                <w:rFonts w:hint="eastAsia"/>
                <w:sz w:val="24"/>
                <w:szCs w:val="24"/>
              </w:rPr>
              <w:t>提供</w:t>
            </w:r>
            <w:r>
              <w:rPr>
                <w:rFonts w:hint="eastAsia"/>
                <w:sz w:val="24"/>
                <w:szCs w:val="24"/>
                <w:lang w:val="en-US" w:eastAsia="zh-CN"/>
              </w:rPr>
              <w:t>自2021年1月1日起（以合同签订日期为准）网络安全</w:t>
            </w:r>
            <w:r>
              <w:rPr>
                <w:rFonts w:hint="eastAsia"/>
                <w:sz w:val="24"/>
                <w:szCs w:val="24"/>
              </w:rPr>
              <w:t>服务</w:t>
            </w:r>
            <w:r>
              <w:rPr>
                <w:rFonts w:hint="eastAsia"/>
                <w:sz w:val="24"/>
                <w:szCs w:val="24"/>
                <w:lang w:val="en-US" w:eastAsia="zh-CN"/>
              </w:rPr>
              <w:t>类</w:t>
            </w:r>
            <w:r>
              <w:rPr>
                <w:rFonts w:hint="eastAsia"/>
                <w:sz w:val="24"/>
                <w:szCs w:val="24"/>
              </w:rPr>
              <w:t>项目案例，提供合同原件</w:t>
            </w:r>
            <w:r>
              <w:rPr>
                <w:rFonts w:hint="eastAsia"/>
                <w:sz w:val="24"/>
                <w:szCs w:val="24"/>
                <w:lang w:val="en-US" w:eastAsia="zh-CN"/>
              </w:rPr>
              <w:t>复印件并加盖供应商公章</w:t>
            </w:r>
            <w:r>
              <w:rPr>
                <w:rFonts w:hint="eastAsia"/>
                <w:sz w:val="24"/>
                <w:szCs w:val="24"/>
              </w:rPr>
              <w:t>。每提供一份得</w:t>
            </w:r>
            <w:r>
              <w:rPr>
                <w:rFonts w:hint="eastAsia"/>
                <w:sz w:val="24"/>
                <w:szCs w:val="24"/>
                <w:lang w:val="en-US" w:eastAsia="zh-CN"/>
              </w:rPr>
              <w:t>3</w:t>
            </w:r>
            <w:r>
              <w:rPr>
                <w:rFonts w:hint="eastAsia"/>
                <w:sz w:val="24"/>
                <w:szCs w:val="24"/>
              </w:rPr>
              <w:t>分，最高</w:t>
            </w:r>
            <w:r>
              <w:rPr>
                <w:rFonts w:hint="eastAsia"/>
                <w:sz w:val="24"/>
                <w:szCs w:val="24"/>
                <w:lang w:val="en-US" w:eastAsia="zh-CN"/>
              </w:rPr>
              <w:t>12</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91" w:type="pct"/>
            <w:tcBorders>
              <w:tl2br w:val="nil"/>
              <w:tr2bl w:val="nil"/>
            </w:tcBorders>
            <w:noWrap w:val="0"/>
            <w:vAlign w:val="center"/>
          </w:tcPr>
          <w:p>
            <w:pPr>
              <w:bidi w:val="0"/>
              <w:rPr>
                <w:rFonts w:hint="eastAsia"/>
                <w:sz w:val="24"/>
                <w:szCs w:val="24"/>
                <w:lang w:eastAsia="zh-CN"/>
              </w:rPr>
            </w:pPr>
            <w:r>
              <w:rPr>
                <w:rFonts w:hint="eastAsia"/>
                <w:sz w:val="24"/>
                <w:szCs w:val="24"/>
                <w:lang w:val="en-US" w:eastAsia="zh-CN"/>
              </w:rPr>
              <w:t>5</w:t>
            </w:r>
          </w:p>
        </w:tc>
        <w:tc>
          <w:tcPr>
            <w:tcW w:w="560" w:type="pct"/>
            <w:tcBorders>
              <w:tl2br w:val="nil"/>
              <w:tr2bl w:val="nil"/>
            </w:tcBorders>
            <w:noWrap w:val="0"/>
            <w:vAlign w:val="center"/>
          </w:tcPr>
          <w:p>
            <w:pPr>
              <w:bidi w:val="0"/>
              <w:rPr>
                <w:rFonts w:hint="eastAsia"/>
                <w:sz w:val="24"/>
                <w:szCs w:val="24"/>
              </w:rPr>
            </w:pPr>
            <w:r>
              <w:rPr>
                <w:rFonts w:hint="eastAsia"/>
                <w:sz w:val="24"/>
                <w:szCs w:val="24"/>
              </w:rPr>
              <w:t>应急到场时间</w:t>
            </w:r>
          </w:p>
        </w:tc>
        <w:tc>
          <w:tcPr>
            <w:tcW w:w="424" w:type="pct"/>
            <w:tcBorders>
              <w:tl2br w:val="nil"/>
              <w:tr2bl w:val="nil"/>
            </w:tcBorders>
            <w:noWrap w:val="0"/>
            <w:vAlign w:val="center"/>
          </w:tcPr>
          <w:p>
            <w:pPr>
              <w:bidi w:val="0"/>
              <w:jc w:val="center"/>
              <w:rPr>
                <w:rFonts w:hint="eastAsia"/>
                <w:sz w:val="24"/>
                <w:szCs w:val="24"/>
                <w:lang w:eastAsia="zh-CN"/>
              </w:rPr>
            </w:pPr>
            <w:r>
              <w:rPr>
                <w:rFonts w:hint="eastAsia"/>
                <w:sz w:val="24"/>
                <w:szCs w:val="24"/>
                <w:lang w:val="en-US" w:eastAsia="zh-CN"/>
              </w:rPr>
              <w:t>5</w:t>
            </w:r>
          </w:p>
        </w:tc>
        <w:tc>
          <w:tcPr>
            <w:tcW w:w="3523" w:type="pct"/>
            <w:tcBorders>
              <w:tl2br w:val="nil"/>
              <w:tr2bl w:val="nil"/>
            </w:tcBorders>
            <w:noWrap w:val="0"/>
            <w:vAlign w:val="center"/>
          </w:tcPr>
          <w:p>
            <w:pPr>
              <w:bidi w:val="0"/>
              <w:rPr>
                <w:rFonts w:hint="eastAsia"/>
                <w:sz w:val="24"/>
                <w:szCs w:val="24"/>
              </w:rPr>
            </w:pPr>
            <w:r>
              <w:rPr>
                <w:rFonts w:hint="eastAsia"/>
                <w:sz w:val="24"/>
                <w:szCs w:val="24"/>
              </w:rPr>
              <w:t>供应商需具备应急响应能力；项目组成员网络事件应急到场时间在</w:t>
            </w:r>
            <w:r>
              <w:rPr>
                <w:rFonts w:hint="eastAsia"/>
                <w:sz w:val="24"/>
                <w:szCs w:val="24"/>
                <w:lang w:val="en-US" w:eastAsia="zh-CN"/>
              </w:rPr>
              <w:t>1</w:t>
            </w:r>
            <w:r>
              <w:rPr>
                <w:rFonts w:hint="eastAsia"/>
                <w:sz w:val="24"/>
                <w:szCs w:val="24"/>
              </w:rPr>
              <w:t>小时内的得</w:t>
            </w:r>
            <w:r>
              <w:rPr>
                <w:rFonts w:hint="eastAsia"/>
                <w:sz w:val="24"/>
                <w:szCs w:val="24"/>
                <w:lang w:val="en-US" w:eastAsia="zh-CN"/>
              </w:rPr>
              <w:t>5</w:t>
            </w:r>
            <w:r>
              <w:rPr>
                <w:rFonts w:hint="eastAsia"/>
                <w:sz w:val="24"/>
                <w:szCs w:val="24"/>
              </w:rPr>
              <w:t>分；</w:t>
            </w:r>
            <w:r>
              <w:rPr>
                <w:rFonts w:hint="eastAsia"/>
                <w:sz w:val="24"/>
                <w:szCs w:val="24"/>
                <w:lang w:val="en-US" w:eastAsia="zh-CN"/>
              </w:rPr>
              <w:t>2</w:t>
            </w:r>
            <w:r>
              <w:rPr>
                <w:rFonts w:hint="eastAsia"/>
                <w:sz w:val="24"/>
                <w:szCs w:val="24"/>
              </w:rPr>
              <w:t>小时内到场的得</w:t>
            </w:r>
            <w:r>
              <w:rPr>
                <w:rFonts w:hint="eastAsia"/>
                <w:sz w:val="24"/>
                <w:szCs w:val="24"/>
                <w:lang w:val="en-US" w:eastAsia="zh-CN"/>
              </w:rPr>
              <w:t>3</w:t>
            </w:r>
            <w:r>
              <w:rPr>
                <w:rFonts w:hint="eastAsia"/>
                <w:sz w:val="24"/>
                <w:szCs w:val="24"/>
              </w:rPr>
              <w:t>分；</w:t>
            </w:r>
            <w:r>
              <w:rPr>
                <w:rFonts w:hint="eastAsia"/>
                <w:sz w:val="24"/>
                <w:szCs w:val="24"/>
                <w:lang w:val="en-US" w:eastAsia="zh-CN"/>
              </w:rPr>
              <w:t>3</w:t>
            </w:r>
            <w:r>
              <w:rPr>
                <w:rFonts w:hint="eastAsia"/>
                <w:sz w:val="24"/>
                <w:szCs w:val="24"/>
              </w:rPr>
              <w:t>小时内到场的得1分；超过</w:t>
            </w:r>
            <w:r>
              <w:rPr>
                <w:rFonts w:hint="eastAsia"/>
                <w:sz w:val="24"/>
                <w:szCs w:val="24"/>
                <w:lang w:val="en-US" w:eastAsia="zh-CN"/>
              </w:rPr>
              <w:t>3</w:t>
            </w:r>
            <w:r>
              <w:rPr>
                <w:rFonts w:hint="eastAsia"/>
                <w:sz w:val="24"/>
                <w:szCs w:val="24"/>
              </w:rPr>
              <w:t>小时的不得分。提供应急响应承诺函</w:t>
            </w:r>
            <w:r>
              <w:rPr>
                <w:rFonts w:hint="eastAsia"/>
                <w:sz w:val="24"/>
                <w:szCs w:val="24"/>
                <w:lang w:eastAsia="zh-CN"/>
              </w:rPr>
              <w:t>（</w:t>
            </w:r>
            <w:r>
              <w:rPr>
                <w:rFonts w:hint="eastAsia"/>
                <w:sz w:val="24"/>
                <w:szCs w:val="24"/>
                <w:lang w:val="en-US" w:eastAsia="zh-CN"/>
              </w:rPr>
              <w:t>格式自拟</w:t>
            </w:r>
            <w:r>
              <w:rPr>
                <w:rFonts w:hint="eastAsia"/>
                <w:sz w:val="24"/>
                <w:szCs w:val="24"/>
                <w:lang w:eastAsia="zh-CN"/>
              </w:rPr>
              <w:t>）</w:t>
            </w:r>
            <w:r>
              <w:rPr>
                <w:rFonts w:hint="eastAsia"/>
                <w:sz w:val="24"/>
                <w:szCs w:val="24"/>
              </w:rPr>
              <w:t>。</w:t>
            </w:r>
          </w:p>
        </w:tc>
      </w:tr>
    </w:tbl>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2.价格分：</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综合评分法中的价格分统一采用低价优先法</w:t>
      </w:r>
      <w:bookmarkStart w:id="33" w:name="_GoBack"/>
      <w:bookmarkEnd w:id="33"/>
      <w:r>
        <w:rPr>
          <w:rFonts w:hint="eastAsia" w:ascii="宋体" w:hAnsi="宋体" w:eastAsia="宋体" w:cs="宋体"/>
          <w:color w:val="auto"/>
          <w:sz w:val="28"/>
          <w:szCs w:val="28"/>
          <w:highlight w:val="none"/>
        </w:rPr>
        <w:t>计算，即满足比选文件要求且报价最低的供应商的价格为比选基准价，其价格分为满分。其他供应商的价格分统一按照下列公式计算：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比选报价得分=（比选基准价/比选报价）×</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%×100</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项目评审过程中，不得去掉最后报价中的最高报价和最低报价。</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比选小组</w:t>
      </w:r>
      <w:r>
        <w:rPr>
          <w:rFonts w:hint="eastAsia" w:ascii="宋体" w:hAnsi="宋体" w:eastAsia="宋体" w:cs="宋体"/>
          <w:color w:val="auto"/>
          <w:sz w:val="28"/>
          <w:szCs w:val="28"/>
          <w:highlight w:val="none"/>
        </w:rPr>
        <w:t>认为供应商的投标报价有可能影响服务质量或者不能诚信履约的，应当要求其在评标现场合理的时间内提供书面说明，必要时提交相关证明材料；供应商不能证明其报价合理性的，比</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小组应当将其作为无效报价处理。</w:t>
      </w:r>
    </w:p>
    <w:p>
      <w:pPr>
        <w:snapToGrid w:val="0"/>
        <w:spacing w:line="4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是否进行二次报价由评标委员会决定。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备注：由于评分主要根据比选文件提供的资料进行，</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人须自行承担由于资料提供不全、错漏、或者无效而导致的不利评审，并对自身提供的比选文件、资料的真实可靠性负责，所有证明材料均应加盖</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人公章。</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七、推荐中选服务单位</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采用综合评分法的，评审结果按评审后得分由高到低顺序排列。得分相同的，按</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报价由低到高顺序排列。得分且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报价相同的并列。采取随机抽取的方式确定。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成交供应商无故弃标，或者因其自身原因不再具备成交资格等，按相关规定处理；采购人可以按照评审委员会评审结果，按综合得分从高向低排序，由其他成交候选人递补，或重新组织采购。</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八、其他注意事项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1.在比选、开标时间，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人不得向评委询问情况，不得进行旨在影响评标结果的活动。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2.评委会不得向</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人解释落标原因。</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3.在比选、评标过程中，如果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人联合故意抬高报价或出现其他不正当行为，采购人有权中止比选或评标。</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4.凡在比选、开标过程中，采购人已提示是否异议的事项，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人当时没有提出异议的，事后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人不得针对上述事项提出质询。比如：采购人在开标中提示评委是否回避，</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人现场未提出异议的，事后不得针对评委回避事项提出质询。</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w:t>
      </w:r>
      <w:r>
        <w:rPr>
          <w:rFonts w:hint="eastAsia" w:ascii="宋体" w:hAnsi="宋体" w:eastAsia="宋体" w:cs="宋体"/>
          <w:b/>
          <w:color w:val="auto"/>
          <w:sz w:val="28"/>
          <w:szCs w:val="28"/>
          <w:highlight w:val="none"/>
          <w:lang w:eastAsia="zh-CN"/>
        </w:rPr>
        <w:t>中选</w:t>
      </w:r>
      <w:r>
        <w:rPr>
          <w:rFonts w:hint="eastAsia" w:ascii="宋体" w:hAnsi="宋体" w:eastAsia="宋体" w:cs="宋体"/>
          <w:b/>
          <w:color w:val="auto"/>
          <w:sz w:val="28"/>
          <w:szCs w:val="28"/>
          <w:highlight w:val="none"/>
        </w:rPr>
        <w:t>通知</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结果在</w:t>
      </w:r>
      <w:r>
        <w:rPr>
          <w:rFonts w:hint="eastAsia" w:ascii="宋体" w:hAnsi="宋体" w:eastAsia="宋体" w:cs="宋体"/>
          <w:color w:val="auto"/>
          <w:sz w:val="28"/>
          <w:szCs w:val="28"/>
          <w:highlight w:val="none"/>
          <w:lang w:eastAsia="zh-CN"/>
        </w:rPr>
        <w:t>南通市统计局网站</w:t>
      </w:r>
      <w:r>
        <w:rPr>
          <w:rFonts w:hint="eastAsia" w:ascii="宋体" w:hAnsi="宋体" w:eastAsia="宋体" w:cs="宋体"/>
          <w:color w:val="auto"/>
          <w:sz w:val="28"/>
          <w:szCs w:val="28"/>
          <w:highlight w:val="none"/>
        </w:rPr>
        <w:t>公示，公告期限为1个工作日。《成交通知书》一经发出，如采购单位改变</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结果，或者</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供应商放弃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的，各自承担相应的法律责任。《成交通知书》是采购合同的组成部分。</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其他</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当成交供应商无正当理由放弃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6"/>
        <w:rPr>
          <w:rFonts w:hint="eastAsia" w:ascii="宋体" w:hAnsi="宋体" w:eastAsia="宋体" w:cs="宋体"/>
        </w:rPr>
      </w:pPr>
    </w:p>
    <w:p>
      <w:pPr>
        <w:snapToGrid w:val="0"/>
        <w:spacing w:line="460" w:lineRule="exact"/>
        <w:ind w:firstLine="1807" w:firstLineChars="500"/>
        <w:rPr>
          <w:rFonts w:hint="eastAsia" w:ascii="宋体" w:hAnsi="宋体" w:eastAsia="宋体" w:cs="宋体"/>
          <w:color w:val="auto"/>
          <w:sz w:val="28"/>
          <w:szCs w:val="28"/>
          <w:highlight w:val="none"/>
        </w:rPr>
      </w:pPr>
      <w:r>
        <w:rPr>
          <w:rFonts w:hint="eastAsia" w:ascii="宋体" w:hAnsi="宋体" w:eastAsia="宋体" w:cs="宋体"/>
          <w:b/>
          <w:color w:val="auto"/>
          <w:sz w:val="36"/>
          <w:szCs w:val="36"/>
          <w:highlight w:val="none"/>
        </w:rPr>
        <w:t>第五部分  合同签订与验收付款</w:t>
      </w:r>
    </w:p>
    <w:p>
      <w:pPr>
        <w:pStyle w:val="98"/>
        <w:tabs>
          <w:tab w:val="right" w:leader="dot" w:pos="9214"/>
        </w:tabs>
        <w:snapToGrid w:val="0"/>
        <w:spacing w:line="460" w:lineRule="exact"/>
        <w:ind w:right="443" w:rightChars="211" w:firstLine="560" w:firstLineChars="200"/>
        <w:contextualSpacing/>
        <w:rPr>
          <w:rFonts w:hint="eastAsia" w:ascii="宋体" w:hAnsi="宋体" w:eastAsia="宋体" w:cs="宋体"/>
          <w:color w:val="auto"/>
          <w:sz w:val="28"/>
          <w:highlight w:val="none"/>
        </w:rPr>
      </w:pPr>
      <w:bookmarkStart w:id="12" w:name="_Toc296503211"/>
      <w:bookmarkStart w:id="13" w:name="_Toc297120511"/>
      <w:bookmarkStart w:id="14" w:name="_Toc296891039"/>
      <w:bookmarkStart w:id="15" w:name="_Toc297216215"/>
      <w:bookmarkStart w:id="16" w:name="_Toc297048397"/>
      <w:bookmarkStart w:id="17" w:name="_Toc303539163"/>
      <w:bookmarkStart w:id="18" w:name="OLE_LINK1"/>
      <w:bookmarkStart w:id="19" w:name="_Toc296944550"/>
      <w:bookmarkStart w:id="20" w:name="_Toc300935006"/>
      <w:bookmarkStart w:id="21" w:name="_Toc296346712"/>
      <w:bookmarkStart w:id="22" w:name="_Toc296891251"/>
      <w:bookmarkStart w:id="23" w:name="_Toc292559921"/>
      <w:bookmarkStart w:id="24" w:name="OLE_LINK2"/>
      <w:bookmarkStart w:id="25" w:name="_Toc498006744"/>
      <w:bookmarkStart w:id="26" w:name="_Toc297123556"/>
      <w:bookmarkStart w:id="27" w:name="_Toc267251442"/>
      <w:bookmarkStart w:id="28" w:name="_Toc296347210"/>
      <w:bookmarkStart w:id="29" w:name="_Toc292559416"/>
      <w:r>
        <w:rPr>
          <w:rFonts w:hint="eastAsia" w:ascii="宋体" w:hAnsi="宋体" w:eastAsia="宋体" w:cs="宋体"/>
          <w:color w:val="auto"/>
          <w:sz w:val="28"/>
          <w:highlight w:val="none"/>
        </w:rPr>
        <w:t>一、成交供应商和采购人在接到《成交通知书》后</w:t>
      </w:r>
      <w:r>
        <w:rPr>
          <w:rFonts w:hint="eastAsia" w:ascii="宋体" w:hAnsi="宋体" w:eastAsia="宋体" w:cs="宋体"/>
          <w:color w:val="auto"/>
          <w:sz w:val="28"/>
          <w:highlight w:val="none"/>
          <w:lang w:val="en-US" w:eastAsia="zh-CN"/>
        </w:rPr>
        <w:t>5个工作日</w:t>
      </w:r>
      <w:r>
        <w:rPr>
          <w:rFonts w:hint="eastAsia" w:ascii="宋体" w:hAnsi="宋体" w:eastAsia="宋体" w:cs="宋体"/>
          <w:color w:val="auto"/>
          <w:sz w:val="28"/>
          <w:highlight w:val="none"/>
        </w:rPr>
        <w:t>内按照采购文件确定的事项签订采购合同。</w:t>
      </w:r>
      <w:r>
        <w:rPr>
          <w:rFonts w:hint="eastAsia" w:ascii="宋体" w:hAnsi="宋体" w:eastAsia="宋体" w:cs="宋体"/>
          <w:color w:val="auto"/>
          <w:sz w:val="28"/>
          <w:highlight w:val="none"/>
          <w:lang w:val="zh-CN"/>
        </w:rPr>
        <w:t>所签合同不得对采购文件作实质性修改</w:t>
      </w:r>
      <w:r>
        <w:rPr>
          <w:rFonts w:hint="eastAsia" w:ascii="宋体" w:hAnsi="宋体" w:eastAsia="宋体" w:cs="宋体"/>
          <w:color w:val="auto"/>
          <w:sz w:val="28"/>
          <w:highlight w:val="none"/>
        </w:rPr>
        <w:t>。采购人不得向成交供应商提出不合理的要求作为签订合同的条件，不得与成交供应商私下订立背离采购文件实质性内容的协议。</w:t>
      </w:r>
      <w:bookmarkStart w:id="30" w:name="_Toc94585343"/>
      <w:bookmarkStart w:id="31" w:name="_Toc363573858"/>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三、成交人不得采用转包、分包的形式履行合同，否则，采购人有权终止合同，造成采购人损失的，成交人应承担相应赔偿责任。</w:t>
      </w:r>
    </w:p>
    <w:bookmarkEnd w:id="30"/>
    <w:bookmarkEnd w:id="31"/>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6"/>
        <w:tabs>
          <w:tab w:val="right" w:leader="dot" w:pos="9214"/>
        </w:tabs>
        <w:spacing w:line="460" w:lineRule="exact"/>
        <w:ind w:right="443" w:rightChars="211"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七、按采购合同约定支付的项目合同价款。</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第六部分   参选文件组成</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参选响应文件</w:t>
      </w:r>
      <w:r>
        <w:rPr>
          <w:rFonts w:hint="eastAsia" w:ascii="宋体" w:hAnsi="宋体" w:eastAsia="宋体" w:cs="宋体"/>
          <w:b/>
          <w:color w:val="auto"/>
          <w:sz w:val="28"/>
          <w:szCs w:val="28"/>
          <w:highlight w:val="none"/>
        </w:rPr>
        <w:t>由资格审查证明材料、价格文件、</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lang w:val="en-US" w:eastAsia="zh-CN"/>
        </w:rPr>
        <w:t>电子响应文件四</w:t>
      </w:r>
      <w:r>
        <w:rPr>
          <w:rFonts w:hint="eastAsia" w:ascii="宋体" w:hAnsi="宋体" w:eastAsia="宋体" w:cs="宋体"/>
          <w:b/>
          <w:color w:val="auto"/>
          <w:sz w:val="28"/>
          <w:szCs w:val="28"/>
          <w:highlight w:val="none"/>
        </w:rPr>
        <w:t>部分组成。</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一、资格审查证明材料（不能出现报价，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w:t>
      </w:r>
      <w:r>
        <w:rPr>
          <w:rFonts w:hint="eastAsia" w:ascii="宋体" w:hAnsi="宋体" w:eastAsia="宋体" w:cs="宋体"/>
          <w:b/>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1.关于资格的响应函；</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pacing w:val="7"/>
          <w:sz w:val="28"/>
          <w:szCs w:val="28"/>
          <w:highlight w:val="none"/>
          <w:shd w:val="clear" w:color="auto" w:fill="FFFFFF"/>
        </w:rPr>
        <w:t>法定代表人参加比选的提供法定代表人身份证明及本人身份证复印件；非法定代表人参加比选的，必须提供法定代表人签字或盖章的授权委托书及被授权人本人的身份证复印件（格式参见附件）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3.提供有效的营业执照副本复印件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4</w:t>
      </w:r>
      <w:r>
        <w:rPr>
          <w:rFonts w:hint="eastAsia" w:ascii="宋体" w:hAnsi="宋体" w:eastAsia="宋体" w:cs="宋体"/>
          <w:color w:val="auto"/>
          <w:spacing w:val="7"/>
          <w:sz w:val="28"/>
          <w:szCs w:val="28"/>
          <w:highlight w:val="none"/>
          <w:shd w:val="clear" w:color="auto" w:fill="FFFFFF"/>
        </w:rPr>
        <w:t>.未被“信用中国”网站列入失信被执行人、重大税收违法案件当事人名单、采购不良行为记录名单</w:t>
      </w:r>
      <w:r>
        <w:rPr>
          <w:rFonts w:hint="eastAsia" w:ascii="宋体" w:hAnsi="宋体" w:eastAsia="宋体" w:cs="宋体"/>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lang w:val="en-US" w:eastAsia="zh-CN"/>
        </w:rPr>
        <w:t>格式详见声明函</w:t>
      </w:r>
      <w:r>
        <w:rPr>
          <w:rFonts w:hint="eastAsia" w:ascii="宋体" w:hAnsi="宋体" w:eastAsia="宋体" w:cs="宋体"/>
          <w:color w:val="auto"/>
          <w:spacing w:val="7"/>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rPr>
        <w:t>（不能出现报价；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副，单独密封牢固装订</w:t>
      </w:r>
      <w:r>
        <w:rPr>
          <w:rFonts w:hint="eastAsia" w:ascii="宋体" w:hAnsi="宋体" w:eastAsia="宋体" w:cs="宋体"/>
          <w:b/>
          <w:color w:val="auto"/>
          <w:sz w:val="28"/>
          <w:szCs w:val="28"/>
          <w:highlight w:val="none"/>
        </w:rPr>
        <w:t>）：</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1.技术比选响应函；</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.评审办法中涉及的事项，为方便比选评审，请供应商按比选评审办法中所涉及的事项顺序进行编制，可以补充相关材料。</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highlight w:val="none"/>
        </w:rPr>
        <w:t>价格文件，一正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副（单独密封并牢固装订），不得出现在</w:t>
      </w:r>
      <w:r>
        <w:rPr>
          <w:rFonts w:hint="eastAsia" w:ascii="宋体" w:hAnsi="宋体" w:eastAsia="宋体" w:cs="宋体"/>
          <w:b/>
          <w:color w:val="auto"/>
          <w:sz w:val="28"/>
          <w:highlight w:val="none"/>
          <w:lang w:eastAsia="zh-CN"/>
        </w:rPr>
        <w:t>商务技术文件</w:t>
      </w:r>
      <w:r>
        <w:rPr>
          <w:rFonts w:hint="eastAsia" w:ascii="宋体" w:hAnsi="宋体" w:eastAsia="宋体" w:cs="宋体"/>
          <w:b/>
          <w:color w:val="auto"/>
          <w:sz w:val="28"/>
          <w:highlight w:val="none"/>
        </w:rPr>
        <w:t>及资格审查部分：</w:t>
      </w:r>
    </w:p>
    <w:p>
      <w:pPr>
        <w:keepNext w:val="0"/>
        <w:keepLines w:val="0"/>
        <w:pageBreakBefore w:val="0"/>
        <w:widowControl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1.报价总表</w:t>
      </w:r>
      <w:r>
        <w:rPr>
          <w:rFonts w:hint="eastAsia" w:ascii="宋体" w:hAnsi="宋体" w:eastAsia="宋体" w:cs="宋体"/>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四、电子响应文件</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tabs>
          <w:tab w:val="left" w:pos="1260"/>
        </w:tabs>
        <w:snapToGrid w:val="0"/>
        <w:spacing w:line="460" w:lineRule="exact"/>
        <w:ind w:firstLine="560" w:firstLineChars="200"/>
        <w:rPr>
          <w:rFonts w:hint="eastAsia" w:ascii="宋体" w:hAnsi="宋体" w:eastAsia="宋体" w:cs="宋体"/>
          <w:b/>
          <w:color w:val="auto"/>
          <w:sz w:val="28"/>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28"/>
          <w:szCs w:val="32"/>
          <w:highlight w:val="none"/>
        </w:rPr>
        <w:t>资格审查证明材料相关格式</w:t>
      </w:r>
    </w:p>
    <w:p>
      <w:pPr>
        <w:spacing w:line="360" w:lineRule="auto"/>
        <w:jc w:val="center"/>
        <w:outlineLvl w:val="2"/>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1.响  应  函</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u w:val="single"/>
        </w:rPr>
        <w:t>_______ __________</w:t>
      </w:r>
      <w:r>
        <w:rPr>
          <w:rFonts w:hint="eastAsia" w:ascii="宋体" w:hAnsi="宋体" w:eastAsia="宋体" w:cs="宋体"/>
          <w:bCs/>
          <w:color w:val="auto"/>
          <w:sz w:val="28"/>
          <w:szCs w:val="28"/>
          <w:highlight w:val="none"/>
        </w:rPr>
        <w:t>（项目编号）投标活动。针对以下规定做出如下声明：</w:t>
      </w: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参选人全称：</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公      章：</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授 权 代表：</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numPr>
          <w:ilvl w:val="0"/>
          <w:numId w:val="5"/>
        </w:num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法定代表人身份证明</w:t>
      </w:r>
    </w:p>
    <w:p>
      <w:pPr>
        <w:spacing w:line="360" w:lineRule="auto"/>
        <w:jc w:val="center"/>
        <w:rPr>
          <w:rFonts w:hint="eastAsia" w:ascii="宋体" w:hAnsi="宋体" w:eastAsia="宋体" w:cs="宋体"/>
          <w:b/>
          <w:bCs/>
          <w:sz w:val="32"/>
          <w:szCs w:val="32"/>
        </w:rPr>
      </w:pP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pPr>
        <w:spacing w:line="360" w:lineRule="auto"/>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rPr>
      </w:pPr>
    </w:p>
    <w:p>
      <w:pPr>
        <w:numPr>
          <w:ilvl w:val="0"/>
          <w:numId w:val="0"/>
        </w:numPr>
        <w:spacing w:line="360" w:lineRule="auto"/>
        <w:jc w:val="both"/>
        <w:outlineLvl w:val="2"/>
        <w:rPr>
          <w:rFonts w:hint="eastAsia" w:ascii="宋体" w:hAnsi="宋体" w:eastAsia="宋体" w:cs="宋体"/>
          <w:b/>
          <w:color w:val="auto"/>
          <w:sz w:val="28"/>
          <w:szCs w:val="28"/>
          <w:highlight w:val="none"/>
        </w:rPr>
      </w:pPr>
    </w:p>
    <w:tbl>
      <w:tblPr>
        <w:tblStyle w:val="35"/>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法定代表人身份证（正、反面）复印件并加盖公章</w:t>
            </w:r>
            <w:r>
              <w:rPr>
                <w:rFonts w:hint="eastAsia" w:ascii="宋体" w:hAnsi="宋体" w:eastAsia="宋体" w:cs="宋体"/>
                <w:b/>
                <w:bCs/>
                <w:color w:val="auto"/>
                <w:highlight w:val="none"/>
                <w:u w:val="single"/>
              </w:rPr>
              <w:t>（黏贴此处）</w:t>
            </w: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bCs/>
          <w:color w:val="auto"/>
          <w:sz w:val="28"/>
          <w:szCs w:val="28"/>
          <w:highlight w:val="none"/>
        </w:rPr>
        <w:t>3.授权委托书（如需）</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本授权书宣告，在下面签字的</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以法定代表人身份代表本单位授权：</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 xml:space="preserve">为本单位的合法授权代表，授权其在 </w:t>
      </w:r>
      <w:r>
        <w:rPr>
          <w:rFonts w:hint="eastAsia" w:ascii="宋体" w:hAnsi="宋体" w:eastAsia="宋体" w:cs="宋体"/>
          <w:color w:val="auto"/>
          <w:sz w:val="25"/>
          <w:szCs w:val="25"/>
          <w:highlight w:val="none"/>
          <w:u w:val="single"/>
        </w:rPr>
        <w:t xml:space="preserve">    项目</w:t>
      </w:r>
      <w:r>
        <w:rPr>
          <w:rFonts w:hint="eastAsia" w:ascii="宋体" w:hAnsi="宋体" w:eastAsia="宋体" w:cs="宋体"/>
          <w:color w:val="auto"/>
          <w:sz w:val="25"/>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本委托书限期自</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日起至</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日止。</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授权代表无权转让委托权，特此委托。</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lang w:eastAsia="zh-CN"/>
        </w:rPr>
        <w:t>投标供应商</w:t>
      </w:r>
      <w:r>
        <w:rPr>
          <w:rFonts w:hint="eastAsia" w:ascii="宋体" w:hAnsi="宋体" w:eastAsia="宋体" w:cs="宋体"/>
          <w:color w:val="auto"/>
          <w:sz w:val="25"/>
          <w:highlight w:val="none"/>
        </w:rPr>
        <w:t>：</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(全称、盖章)</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法定代表人姓名：</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授权委托人：</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联系方式：</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日    期：</w:t>
      </w:r>
      <w:r>
        <w:rPr>
          <w:rFonts w:hint="eastAsia" w:ascii="宋体" w:hAnsi="宋体" w:eastAsia="宋体" w:cs="宋体"/>
          <w:color w:val="auto"/>
          <w:sz w:val="25"/>
          <w:highlight w:val="none"/>
          <w:u w:val="single"/>
        </w:rPr>
        <w:t xml:space="preserve">                      </w:t>
      </w:r>
    </w:p>
    <w:tbl>
      <w:tblPr>
        <w:tblStyle w:val="35"/>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授权委托人身份证（正、反面）复印件并加盖公章</w:t>
            </w:r>
            <w:r>
              <w:rPr>
                <w:rFonts w:hint="eastAsia" w:ascii="宋体" w:hAnsi="宋体" w:eastAsia="宋体" w:cs="宋体"/>
                <w:b/>
                <w:bCs/>
                <w:color w:val="auto"/>
                <w:highlight w:val="none"/>
                <w:u w:val="single"/>
              </w:rPr>
              <w:t>（黏贴此处，原件备查）</w:t>
            </w: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kern w:val="0"/>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4.</w:t>
      </w:r>
      <w:r>
        <w:rPr>
          <w:rFonts w:hint="eastAsia" w:ascii="宋体" w:hAnsi="宋体" w:eastAsia="宋体" w:cs="宋体"/>
          <w:b/>
          <w:color w:val="auto"/>
          <w:sz w:val="28"/>
          <w:szCs w:val="28"/>
          <w:highlight w:val="none"/>
        </w:rPr>
        <w:t>无重大违法记录声明</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我公司郑重声明：参加本次采购活动前</w:t>
      </w:r>
      <w:r>
        <w:rPr>
          <w:rFonts w:hint="eastAsia" w:ascii="宋体" w:hAnsi="宋体" w:eastAsia="宋体" w:cs="宋体"/>
          <w:color w:val="auto"/>
          <w:sz w:val="28"/>
          <w:szCs w:val="28"/>
          <w:highlight w:val="none"/>
          <w:u w:val="single"/>
        </w:rPr>
        <w:t xml:space="preserve"> 3 </w:t>
      </w:r>
      <w:r>
        <w:rPr>
          <w:rFonts w:hint="eastAsia" w:ascii="宋体" w:hAnsi="宋体" w:eastAsia="宋体" w:cs="宋体"/>
          <w:color w:val="auto"/>
          <w:sz w:val="28"/>
          <w:szCs w:val="28"/>
          <w:highlight w:val="none"/>
        </w:rPr>
        <w:t>年内，我公司在经营活动中</w:t>
      </w:r>
      <w:r>
        <w:rPr>
          <w:rFonts w:hint="eastAsia" w:ascii="宋体" w:hAnsi="宋体" w:eastAsia="宋体" w:cs="宋体"/>
          <w:b/>
          <w:bCs/>
          <w:color w:val="auto"/>
          <w:sz w:val="28"/>
          <w:szCs w:val="28"/>
          <w:highlight w:val="none"/>
          <w:u w:val="single"/>
        </w:rPr>
        <w:t>有/没有</w:t>
      </w:r>
      <w:r>
        <w:rPr>
          <w:rFonts w:hint="eastAsia" w:ascii="宋体" w:hAnsi="宋体" w:eastAsia="宋体" w:cs="宋体"/>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在投标截止时间节点，没有被</w:t>
      </w:r>
      <w:r>
        <w:rPr>
          <w:rFonts w:hint="eastAsia" w:ascii="宋体" w:hAnsi="宋体" w:eastAsia="宋体" w:cs="宋体"/>
          <w:color w:val="auto"/>
          <w:sz w:val="28"/>
          <w:szCs w:val="32"/>
          <w:highlight w:val="none"/>
        </w:rPr>
        <w:t>“信用江苏”“信用中国”</w:t>
      </w:r>
      <w:r>
        <w:rPr>
          <w:rFonts w:hint="eastAsia" w:ascii="宋体" w:hAnsi="宋体" w:eastAsia="宋体" w:cs="宋体"/>
          <w:color w:val="auto"/>
          <w:sz w:val="28"/>
          <w:szCs w:val="28"/>
          <w:highlight w:val="none"/>
        </w:rPr>
        <w:t>网站列入失信被执行人、重大税收违法案件当事人名单、采购严重违法失信行为记录名单。</w:t>
      </w:r>
    </w:p>
    <w:p>
      <w:pPr>
        <w:snapToGrid w:val="0"/>
        <w:spacing w:line="360" w:lineRule="auto"/>
        <w:ind w:firstLine="200"/>
        <w:rPr>
          <w:rFonts w:hint="eastAsia" w:ascii="宋体" w:hAnsi="宋体" w:eastAsia="宋体" w:cs="宋体"/>
          <w:color w:val="auto"/>
          <w:sz w:val="28"/>
          <w:szCs w:val="28"/>
          <w:highlight w:val="none"/>
        </w:rPr>
      </w:pP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p>
    <w:p>
      <w:pPr>
        <w:rPr>
          <w:rFonts w:hint="eastAsia" w:ascii="宋体" w:hAnsi="宋体" w:eastAsia="宋体" w:cs="宋体"/>
          <w:b/>
          <w:color w:val="auto"/>
          <w:sz w:val="28"/>
          <w:szCs w:val="32"/>
          <w:highlight w:val="none"/>
        </w:rPr>
      </w:pPr>
      <w:r>
        <w:rPr>
          <w:rFonts w:hint="eastAsia" w:ascii="宋体" w:hAnsi="宋体" w:eastAsia="宋体" w:cs="宋体"/>
          <w:b/>
          <w:color w:val="auto"/>
          <w:sz w:val="28"/>
          <w:szCs w:val="32"/>
          <w:highlight w:val="none"/>
        </w:rPr>
        <w:br w:type="page"/>
      </w:r>
    </w:p>
    <w:p>
      <w:pPr>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32"/>
          <w:highlight w:val="none"/>
          <w:lang w:eastAsia="zh-CN"/>
        </w:rPr>
        <w:t>商务技术文件</w:t>
      </w:r>
      <w:r>
        <w:rPr>
          <w:rFonts w:hint="eastAsia" w:ascii="宋体" w:hAnsi="宋体" w:eastAsia="宋体" w:cs="宋体"/>
          <w:b/>
          <w:color w:val="auto"/>
          <w:sz w:val="28"/>
          <w:szCs w:val="32"/>
          <w:highlight w:val="none"/>
        </w:rPr>
        <w:t>相关格式</w:t>
      </w:r>
    </w:p>
    <w:p>
      <w:pPr>
        <w:spacing w:line="360" w:lineRule="auto"/>
        <w:jc w:val="center"/>
        <w:outlineLvl w:val="2"/>
        <w:rPr>
          <w:rFonts w:hint="eastAsia" w:ascii="宋体" w:hAnsi="宋体" w:eastAsia="宋体" w:cs="宋体"/>
          <w:b/>
          <w:color w:val="auto"/>
          <w:sz w:val="28"/>
          <w:szCs w:val="28"/>
          <w:highlight w:val="none"/>
        </w:rPr>
      </w:pPr>
      <w:bookmarkStart w:id="32" w:name="_Hlk89675716"/>
      <w:r>
        <w:rPr>
          <w:rFonts w:hint="eastAsia" w:ascii="宋体" w:hAnsi="宋体" w:eastAsia="宋体" w:cs="宋体"/>
          <w:b/>
          <w:color w:val="auto"/>
          <w:sz w:val="28"/>
          <w:szCs w:val="28"/>
          <w:highlight w:val="none"/>
        </w:rPr>
        <w:t>1.技术比选响应函（格式不得变动）</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依据贵单位组织的</w:t>
      </w:r>
      <w:r>
        <w:rPr>
          <w:rFonts w:hint="eastAsia" w:ascii="宋体" w:hAnsi="宋体" w:eastAsia="宋体" w:cs="宋体"/>
          <w:color w:val="auto"/>
          <w:sz w:val="28"/>
          <w:szCs w:val="28"/>
          <w:highlight w:val="none"/>
          <w:u w:val="single"/>
        </w:rPr>
        <w:t>（比选项目名称)</w:t>
      </w:r>
      <w:r>
        <w:rPr>
          <w:rFonts w:hint="eastAsia" w:ascii="宋体" w:hAnsi="宋体" w:eastAsia="宋体" w:cs="宋体"/>
          <w:color w:val="auto"/>
          <w:sz w:val="28"/>
          <w:szCs w:val="28"/>
          <w:highlight w:val="none"/>
        </w:rPr>
        <w:t>项目比选的邀请，我方授权</w:t>
      </w:r>
      <w:r>
        <w:rPr>
          <w:rFonts w:hint="eastAsia" w:ascii="宋体" w:hAnsi="宋体" w:eastAsia="宋体" w:cs="宋体"/>
          <w:color w:val="auto"/>
          <w:sz w:val="28"/>
          <w:szCs w:val="28"/>
          <w:highlight w:val="none"/>
          <w:u w:val="single"/>
        </w:rPr>
        <w:t>（姓名）（职务）</w:t>
      </w:r>
      <w:r>
        <w:rPr>
          <w:rFonts w:hint="eastAsia" w:ascii="宋体" w:hAnsi="宋体" w:eastAsia="宋体" w:cs="宋体"/>
          <w:color w:val="auto"/>
          <w:sz w:val="28"/>
          <w:szCs w:val="28"/>
          <w:highlight w:val="none"/>
        </w:rPr>
        <w:t>为全权代表参加该项目的比选工作，全权处理本次比选的有关事宜。同时，我公司声明如下：</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1.同意并接受比选文件的各项要求，遵守比选文件中的各项规定，按比选文件的要求提供报价。</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3.我公司已毫无保留地向贵方提供一切所需的证明材料。</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b/>
          <w:color w:val="auto"/>
          <w:sz w:val="28"/>
          <w:szCs w:val="28"/>
          <w:highlight w:val="none"/>
        </w:rPr>
        <w:t>我公司尊重比选小组所作的评定结果，同时清楚理解到报价最低并非意味着必定获得成交资格。</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b/>
          <w:color w:val="auto"/>
          <w:sz w:val="28"/>
          <w:szCs w:val="28"/>
          <w:highlight w:val="non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法定代表人或授权委托人（签字或盖章）：</w:t>
      </w:r>
    </w:p>
    <w:p>
      <w:pPr>
        <w:pStyle w:val="16"/>
        <w:ind w:firstLine="6480" w:firstLineChars="27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w:t>
      </w:r>
    </w:p>
    <w:p>
      <w:pPr>
        <w:snapToGrid w:val="0"/>
        <w:spacing w:line="300" w:lineRule="auto"/>
        <w:ind w:firstLine="562" w:firstLineChars="200"/>
        <w:contextualSpacing/>
        <w:rPr>
          <w:rFonts w:hint="eastAsia" w:ascii="宋体" w:hAnsi="宋体" w:eastAsia="宋体" w:cs="宋体"/>
          <w:sz w:val="28"/>
          <w:szCs w:val="28"/>
          <w:lang w:val="en-US" w:eastAsia="zh-CN"/>
        </w:rPr>
      </w:pPr>
      <w:r>
        <w:rPr>
          <w:rFonts w:hint="eastAsia" w:ascii="宋体" w:hAnsi="宋体" w:eastAsia="宋体" w:cs="宋体"/>
          <w:b/>
          <w:color w:val="auto"/>
          <w:sz w:val="28"/>
          <w:szCs w:val="28"/>
          <w:highlight w:val="none"/>
        </w:rPr>
        <w:br w:type="page"/>
      </w:r>
    </w:p>
    <w:p>
      <w:pPr>
        <w:pStyle w:val="98"/>
        <w:snapToGrid w:val="0"/>
        <w:spacing w:line="300" w:lineRule="auto"/>
        <w:ind w:firstLine="0" w:firstLineChars="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响应文件相关格式</w:t>
      </w: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w:t>
      </w:r>
    </w:p>
    <w:tbl>
      <w:tblPr>
        <w:tblStyle w:val="35"/>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lang w:eastAsia="zh-CN"/>
              </w:rPr>
              <w:t>南通市统计局2023-2024安全运维服务项目</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大写：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小写：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宋体" w:hAnsi="宋体" w:eastAsia="宋体" w:cs="宋体"/>
                <w:color w:val="auto"/>
                <w:sz w:val="28"/>
                <w:szCs w:val="28"/>
                <w:highlight w:val="none"/>
              </w:rPr>
            </w:pPr>
          </w:p>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pPr>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bookmarkEnd w:id="32"/>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投标人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rPr>
          <w:rFonts w:hint="eastAsia" w:ascii="宋体" w:hAnsi="宋体" w:eastAsia="宋体" w:cs="宋体"/>
          <w:lang w:val="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left="0" w:leftChars="0"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AA49"/>
    <w:multiLevelType w:val="singleLevel"/>
    <w:tmpl w:val="A765AA49"/>
    <w:lvl w:ilvl="0" w:tentative="0">
      <w:start w:val="1"/>
      <w:numFmt w:val="decimal"/>
      <w:suff w:val="nothing"/>
      <w:lvlText w:val="%1、"/>
      <w:lvlJc w:val="left"/>
    </w:lvl>
  </w:abstractNum>
  <w:abstractNum w:abstractNumId="1">
    <w:nsid w:val="B200DC13"/>
    <w:multiLevelType w:val="singleLevel"/>
    <w:tmpl w:val="B200DC13"/>
    <w:lvl w:ilvl="0" w:tentative="0">
      <w:start w:val="2"/>
      <w:numFmt w:val="decimal"/>
      <w:lvlText w:val="%1."/>
      <w:lvlJc w:val="left"/>
      <w:pPr>
        <w:tabs>
          <w:tab w:val="left" w:pos="312"/>
        </w:tabs>
      </w:pPr>
    </w:lvl>
  </w:abstractNum>
  <w:abstractNum w:abstractNumId="2">
    <w:nsid w:val="C959152A"/>
    <w:multiLevelType w:val="singleLevel"/>
    <w:tmpl w:val="C959152A"/>
    <w:lvl w:ilvl="0" w:tentative="0">
      <w:start w:val="1"/>
      <w:numFmt w:val="bullet"/>
      <w:pStyle w:val="124"/>
      <w:lvlText w:val=""/>
      <w:lvlJc w:val="left"/>
      <w:pPr>
        <w:tabs>
          <w:tab w:val="left" w:pos="780"/>
        </w:tabs>
        <w:ind w:left="780" w:hanging="360"/>
      </w:pPr>
      <w:rPr>
        <w:rFonts w:ascii="Wingdings" w:hAnsi="Wingdings"/>
      </w:rPr>
    </w:lvl>
  </w:abstractNum>
  <w:abstractNum w:abstractNumId="3">
    <w:nsid w:val="38DA3F37"/>
    <w:multiLevelType w:val="multilevel"/>
    <w:tmpl w:val="38DA3F37"/>
    <w:lvl w:ilvl="0" w:tentative="0">
      <w:start w:val="1"/>
      <w:numFmt w:val="bullet"/>
      <w:pStyle w:val="11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3B20316C"/>
    <w:multiLevelType w:val="singleLevel"/>
    <w:tmpl w:val="3B20316C"/>
    <w:lvl w:ilvl="0" w:tentative="0">
      <w:start w:val="6"/>
      <w:numFmt w:val="chineseCounting"/>
      <w:suff w:val="nothing"/>
      <w:lvlText w:val="%1、"/>
      <w:lvlJc w:val="left"/>
      <w:rPr>
        <w:rFonts w:hint="eastAsia"/>
      </w:rPr>
    </w:lvl>
  </w:abstractNum>
  <w:num w:numId="1">
    <w:abstractNumId w:val="3"/>
    <w:lvlOverride w:ilvl="1">
      <w:startOverride w:val="1"/>
    </w:lvlOverride>
    <w:lvlOverride w:ilvl="2">
      <w:startOverride w:val="1"/>
    </w:lvlOverride>
    <w:lvlOverride w:ilvl="3">
      <w:startOverride w:val="1"/>
    </w:lvlOverride>
    <w:lvlOverride w:ilvl="4">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ZjVlMmVlZjczZTU3MWEwMWZlNmM4OWU0NTQ3ODAifQ=="/>
  </w:docVars>
  <w:rsids>
    <w:rsidRoot w:val="005435A7"/>
    <w:rsid w:val="00003FE6"/>
    <w:rsid w:val="00011F09"/>
    <w:rsid w:val="000356C7"/>
    <w:rsid w:val="0006773E"/>
    <w:rsid w:val="00086BE6"/>
    <w:rsid w:val="000C0A8F"/>
    <w:rsid w:val="00137A3A"/>
    <w:rsid w:val="00140950"/>
    <w:rsid w:val="001759B0"/>
    <w:rsid w:val="00196F47"/>
    <w:rsid w:val="001F4B31"/>
    <w:rsid w:val="001F7830"/>
    <w:rsid w:val="00254018"/>
    <w:rsid w:val="00271186"/>
    <w:rsid w:val="00277618"/>
    <w:rsid w:val="00296367"/>
    <w:rsid w:val="002A5B19"/>
    <w:rsid w:val="002C2C06"/>
    <w:rsid w:val="003036CB"/>
    <w:rsid w:val="00313FB1"/>
    <w:rsid w:val="00331166"/>
    <w:rsid w:val="0033353D"/>
    <w:rsid w:val="0034268A"/>
    <w:rsid w:val="00344751"/>
    <w:rsid w:val="003C4EF0"/>
    <w:rsid w:val="003D0EF1"/>
    <w:rsid w:val="003D1538"/>
    <w:rsid w:val="003F6D9F"/>
    <w:rsid w:val="0045519F"/>
    <w:rsid w:val="00472747"/>
    <w:rsid w:val="0047793A"/>
    <w:rsid w:val="004F1043"/>
    <w:rsid w:val="00510272"/>
    <w:rsid w:val="005118B0"/>
    <w:rsid w:val="005435A7"/>
    <w:rsid w:val="00546BC8"/>
    <w:rsid w:val="00556D99"/>
    <w:rsid w:val="005E78A3"/>
    <w:rsid w:val="005F0F1B"/>
    <w:rsid w:val="005F502C"/>
    <w:rsid w:val="006063EA"/>
    <w:rsid w:val="0068079A"/>
    <w:rsid w:val="00690E1C"/>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3696D"/>
    <w:rsid w:val="00945EAD"/>
    <w:rsid w:val="009637EF"/>
    <w:rsid w:val="009D057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72E3A"/>
    <w:rsid w:val="00C77551"/>
    <w:rsid w:val="00C97C3A"/>
    <w:rsid w:val="00C97FE0"/>
    <w:rsid w:val="00CB6CDC"/>
    <w:rsid w:val="00CD4E72"/>
    <w:rsid w:val="00D04860"/>
    <w:rsid w:val="00D120F2"/>
    <w:rsid w:val="00D72507"/>
    <w:rsid w:val="00D728E1"/>
    <w:rsid w:val="00DA151A"/>
    <w:rsid w:val="00DF19BD"/>
    <w:rsid w:val="00E0257A"/>
    <w:rsid w:val="00E02FA9"/>
    <w:rsid w:val="00E54882"/>
    <w:rsid w:val="00E67260"/>
    <w:rsid w:val="00E970F3"/>
    <w:rsid w:val="00EA0862"/>
    <w:rsid w:val="00EA542E"/>
    <w:rsid w:val="00EA5BFB"/>
    <w:rsid w:val="00EC159E"/>
    <w:rsid w:val="00ED4F7A"/>
    <w:rsid w:val="00F05E0E"/>
    <w:rsid w:val="00F1045C"/>
    <w:rsid w:val="00F45AA1"/>
    <w:rsid w:val="00F842FE"/>
    <w:rsid w:val="00F8678C"/>
    <w:rsid w:val="00FC377B"/>
    <w:rsid w:val="00FF5221"/>
    <w:rsid w:val="085C4D8E"/>
    <w:rsid w:val="0E121748"/>
    <w:rsid w:val="19155A48"/>
    <w:rsid w:val="1D426CA0"/>
    <w:rsid w:val="25604923"/>
    <w:rsid w:val="27697A89"/>
    <w:rsid w:val="298669DE"/>
    <w:rsid w:val="2A9D4F3E"/>
    <w:rsid w:val="2F041FA6"/>
    <w:rsid w:val="309156AA"/>
    <w:rsid w:val="344B15E7"/>
    <w:rsid w:val="39FA02C1"/>
    <w:rsid w:val="3C4833C5"/>
    <w:rsid w:val="40A507D2"/>
    <w:rsid w:val="42007EDB"/>
    <w:rsid w:val="43D60CD0"/>
    <w:rsid w:val="4C6D34CB"/>
    <w:rsid w:val="4F1D24F7"/>
    <w:rsid w:val="4FA434CB"/>
    <w:rsid w:val="562869B0"/>
    <w:rsid w:val="59CF6129"/>
    <w:rsid w:val="5BFF29A6"/>
    <w:rsid w:val="5D2406AA"/>
    <w:rsid w:val="62E10410"/>
    <w:rsid w:val="6611755B"/>
    <w:rsid w:val="6A046BF3"/>
    <w:rsid w:val="6A61373F"/>
    <w:rsid w:val="6AD100FE"/>
    <w:rsid w:val="6E9B17D5"/>
    <w:rsid w:val="713A58B4"/>
    <w:rsid w:val="71A262BB"/>
    <w:rsid w:val="73DC3178"/>
    <w:rsid w:val="756B7D59"/>
    <w:rsid w:val="7625180F"/>
    <w:rsid w:val="78B65077"/>
    <w:rsid w:val="7A577058"/>
    <w:rsid w:val="7BDE3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7"/>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58"/>
    <w:semiHidden/>
    <w:unhideWhenUsed/>
    <w:qFormat/>
    <w:uiPriority w:val="0"/>
    <w:pPr>
      <w:keepNext/>
      <w:keepLines/>
      <w:spacing w:before="260" w:after="260" w:line="415" w:lineRule="auto"/>
      <w:outlineLvl w:val="2"/>
    </w:pPr>
    <w:rPr>
      <w:b/>
      <w:bCs/>
      <w:kern w:val="0"/>
      <w:sz w:val="32"/>
      <w:szCs w:val="32"/>
    </w:rPr>
  </w:style>
  <w:style w:type="paragraph" w:styleId="5">
    <w:name w:val="heading 4"/>
    <w:basedOn w:val="1"/>
    <w:next w:val="1"/>
    <w:link w:val="59"/>
    <w:semiHidden/>
    <w:unhideWhenUsed/>
    <w:qFormat/>
    <w:uiPriority w:val="0"/>
    <w:pPr>
      <w:keepNext/>
      <w:jc w:val="center"/>
      <w:outlineLvl w:val="3"/>
    </w:pPr>
    <w:rPr>
      <w:rFonts w:eastAsia="新宋体"/>
      <w:kern w:val="0"/>
      <w:sz w:val="30"/>
      <w:szCs w:val="21"/>
    </w:rPr>
  </w:style>
  <w:style w:type="paragraph" w:styleId="6">
    <w:name w:val="heading 5"/>
    <w:basedOn w:val="1"/>
    <w:next w:val="1"/>
    <w:link w:val="60"/>
    <w:semiHidden/>
    <w:unhideWhenUsed/>
    <w:qFormat/>
    <w:uiPriority w:val="0"/>
    <w:pPr>
      <w:keepNext/>
      <w:keepLines/>
      <w:spacing w:before="280" w:after="290" w:line="374" w:lineRule="auto"/>
      <w:outlineLvl w:val="4"/>
    </w:pPr>
    <w:rPr>
      <w:b/>
      <w:bCs/>
      <w:kern w:val="0"/>
      <w:sz w:val="28"/>
      <w:szCs w:val="28"/>
    </w:rPr>
  </w:style>
  <w:style w:type="paragraph" w:styleId="7">
    <w:name w:val="heading 6"/>
    <w:basedOn w:val="1"/>
    <w:next w:val="1"/>
    <w:link w:val="61"/>
    <w:semiHidden/>
    <w:unhideWhenUsed/>
    <w:qFormat/>
    <w:uiPriority w:val="0"/>
    <w:pPr>
      <w:keepNext/>
      <w:jc w:val="center"/>
      <w:outlineLvl w:val="5"/>
    </w:pPr>
    <w:rPr>
      <w:b/>
      <w:kern w:val="0"/>
      <w:sz w:val="44"/>
      <w:szCs w:val="20"/>
    </w:rPr>
  </w:style>
  <w:style w:type="paragraph" w:styleId="8">
    <w:name w:val="heading 7"/>
    <w:basedOn w:val="1"/>
    <w:next w:val="1"/>
    <w:link w:val="62"/>
    <w:semiHidden/>
    <w:unhideWhenUsed/>
    <w:qFormat/>
    <w:uiPriority w:val="0"/>
    <w:pPr>
      <w:keepNext/>
      <w:keepLines/>
      <w:spacing w:before="240" w:after="64" w:line="319" w:lineRule="auto"/>
      <w:outlineLvl w:val="6"/>
    </w:pPr>
    <w:rPr>
      <w:b/>
      <w:bCs/>
      <w:kern w:val="0"/>
      <w:sz w:val="24"/>
    </w:rPr>
  </w:style>
  <w:style w:type="paragraph" w:styleId="9">
    <w:name w:val="heading 8"/>
    <w:basedOn w:val="1"/>
    <w:next w:val="1"/>
    <w:link w:val="63"/>
    <w:semiHidden/>
    <w:unhideWhenUsed/>
    <w:qFormat/>
    <w:uiPriority w:val="0"/>
    <w:pPr>
      <w:keepNext/>
      <w:keepLines/>
      <w:spacing w:before="240" w:after="64" w:line="319" w:lineRule="auto"/>
      <w:outlineLvl w:val="7"/>
    </w:pPr>
    <w:rPr>
      <w:rFonts w:ascii="Arial" w:hAnsi="Arial" w:eastAsia="黑体"/>
      <w:kern w:val="0"/>
      <w:sz w:val="24"/>
    </w:rPr>
  </w:style>
  <w:style w:type="paragraph" w:styleId="10">
    <w:name w:val="heading 9"/>
    <w:basedOn w:val="1"/>
    <w:next w:val="1"/>
    <w:link w:val="64"/>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8"/>
    <w:unhideWhenUsed/>
    <w:qFormat/>
    <w:uiPriority w:val="0"/>
    <w:pPr>
      <w:ind w:firstLine="420"/>
    </w:pPr>
    <w:rPr>
      <w:rFonts w:asciiTheme="minorHAnsi" w:hAnsiTheme="minorHAnsi" w:eastAsiaTheme="minorEastAsia" w:cstheme="minorBidi"/>
      <w:szCs w:val="22"/>
    </w:rPr>
  </w:style>
  <w:style w:type="paragraph" w:styleId="12">
    <w:name w:val="Document Map"/>
    <w:basedOn w:val="1"/>
    <w:link w:val="82"/>
    <w:semiHidden/>
    <w:unhideWhenUsed/>
    <w:qFormat/>
    <w:uiPriority w:val="0"/>
    <w:pPr>
      <w:shd w:val="clear" w:color="auto" w:fill="000080"/>
    </w:pPr>
    <w:rPr>
      <w:kern w:val="0"/>
      <w:sz w:val="24"/>
    </w:rPr>
  </w:style>
  <w:style w:type="paragraph" w:styleId="13">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4">
    <w:name w:val="annotation text"/>
    <w:basedOn w:val="1"/>
    <w:semiHidden/>
    <w:unhideWhenUsed/>
    <w:qFormat/>
    <w:uiPriority w:val="99"/>
    <w:pPr>
      <w:jc w:val="left"/>
    </w:pPr>
  </w:style>
  <w:style w:type="paragraph" w:styleId="15">
    <w:name w:val="Body Text 3"/>
    <w:basedOn w:val="1"/>
    <w:link w:val="79"/>
    <w:semiHidden/>
    <w:unhideWhenUsed/>
    <w:qFormat/>
    <w:uiPriority w:val="0"/>
    <w:pPr>
      <w:spacing w:after="120"/>
    </w:pPr>
    <w:rPr>
      <w:kern w:val="0"/>
      <w:sz w:val="16"/>
      <w:szCs w:val="16"/>
    </w:rPr>
  </w:style>
  <w:style w:type="paragraph" w:styleId="16">
    <w:name w:val="Body Text"/>
    <w:basedOn w:val="1"/>
    <w:next w:val="1"/>
    <w:link w:val="74"/>
    <w:semiHidden/>
    <w:unhideWhenUsed/>
    <w:qFormat/>
    <w:uiPriority w:val="0"/>
    <w:rPr>
      <w:rFonts w:ascii="仿宋_GB2312" w:eastAsia="仿宋_GB2312"/>
      <w:kern w:val="0"/>
      <w:sz w:val="24"/>
      <w:szCs w:val="20"/>
    </w:rPr>
  </w:style>
  <w:style w:type="paragraph" w:styleId="17">
    <w:name w:val="Body Text Indent"/>
    <w:basedOn w:val="1"/>
    <w:link w:val="65"/>
    <w:semiHidden/>
    <w:unhideWhenUsed/>
    <w:qFormat/>
    <w:uiPriority w:val="0"/>
    <w:pPr>
      <w:spacing w:after="120"/>
      <w:ind w:left="420" w:leftChars="200"/>
    </w:pPr>
  </w:style>
  <w:style w:type="paragraph" w:styleId="18">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19">
    <w:name w:val="Plain Text"/>
    <w:basedOn w:val="1"/>
    <w:link w:val="83"/>
    <w:semiHidden/>
    <w:unhideWhenUsed/>
    <w:qFormat/>
    <w:uiPriority w:val="0"/>
    <w:rPr>
      <w:rFonts w:ascii="宋体" w:hAnsi="Courier New"/>
      <w:kern w:val="0"/>
      <w:sz w:val="24"/>
      <w:szCs w:val="21"/>
    </w:rPr>
  </w:style>
  <w:style w:type="paragraph" w:styleId="20">
    <w:name w:val="Date"/>
    <w:basedOn w:val="1"/>
    <w:next w:val="1"/>
    <w:link w:val="76"/>
    <w:semiHidden/>
    <w:unhideWhenUsed/>
    <w:qFormat/>
    <w:uiPriority w:val="0"/>
    <w:rPr>
      <w:kern w:val="0"/>
      <w:sz w:val="24"/>
      <w:szCs w:val="20"/>
    </w:rPr>
  </w:style>
  <w:style w:type="paragraph" w:styleId="21">
    <w:name w:val="Body Text Indent 2"/>
    <w:basedOn w:val="1"/>
    <w:link w:val="80"/>
    <w:semiHidden/>
    <w:unhideWhenUsed/>
    <w:qFormat/>
    <w:uiPriority w:val="0"/>
    <w:pPr>
      <w:spacing w:line="500" w:lineRule="exact"/>
      <w:ind w:firstLine="560" w:firstLineChars="200"/>
    </w:pPr>
    <w:rPr>
      <w:rFonts w:eastAsia="仿宋_GB2312"/>
      <w:kern w:val="0"/>
      <w:sz w:val="28"/>
      <w:szCs w:val="20"/>
    </w:rPr>
  </w:style>
  <w:style w:type="paragraph" w:styleId="22">
    <w:name w:val="Balloon Text"/>
    <w:basedOn w:val="1"/>
    <w:link w:val="84"/>
    <w:semiHidden/>
    <w:unhideWhenUsed/>
    <w:qFormat/>
    <w:uiPriority w:val="0"/>
    <w:rPr>
      <w:kern w:val="0"/>
      <w:sz w:val="18"/>
      <w:szCs w:val="18"/>
    </w:rPr>
  </w:style>
  <w:style w:type="paragraph" w:styleId="23">
    <w:name w:val="footer"/>
    <w:basedOn w:val="1"/>
    <w:link w:val="70"/>
    <w:unhideWhenUsed/>
    <w:qFormat/>
    <w:uiPriority w:val="99"/>
    <w:pPr>
      <w:tabs>
        <w:tab w:val="center" w:pos="4153"/>
        <w:tab w:val="right" w:pos="8306"/>
      </w:tabs>
      <w:snapToGrid w:val="0"/>
      <w:jc w:val="left"/>
    </w:pPr>
    <w:rPr>
      <w:kern w:val="0"/>
      <w:sz w:val="18"/>
      <w:szCs w:val="20"/>
    </w:rPr>
  </w:style>
  <w:style w:type="paragraph" w:styleId="24">
    <w:name w:val="envelope return"/>
    <w:basedOn w:val="1"/>
    <w:semiHidden/>
    <w:unhideWhenUsed/>
    <w:qFormat/>
    <w:uiPriority w:val="99"/>
    <w:pPr>
      <w:snapToGrid w:val="0"/>
    </w:pPr>
    <w:rPr>
      <w:rFonts w:ascii="Arial" w:hAnsi="Arial"/>
    </w:rPr>
  </w:style>
  <w:style w:type="paragraph" w:styleId="25">
    <w:name w:val="header"/>
    <w:basedOn w:val="1"/>
    <w:link w:val="6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semiHidden/>
    <w:unhideWhenUsed/>
    <w:qFormat/>
    <w:uiPriority w:val="0"/>
    <w:rPr>
      <w:sz w:val="24"/>
    </w:rPr>
  </w:style>
  <w:style w:type="paragraph" w:styleId="27">
    <w:name w:val="List"/>
    <w:basedOn w:val="1"/>
    <w:semiHidden/>
    <w:unhideWhenUsed/>
    <w:qFormat/>
    <w:uiPriority w:val="0"/>
    <w:pPr>
      <w:ind w:left="200" w:hanging="200" w:hangingChars="200"/>
    </w:pPr>
  </w:style>
  <w:style w:type="paragraph" w:styleId="28">
    <w:name w:val="Body Text Indent 3"/>
    <w:basedOn w:val="1"/>
    <w:next w:val="13"/>
    <w:link w:val="81"/>
    <w:semiHidden/>
    <w:unhideWhenUsed/>
    <w:qFormat/>
    <w:uiPriority w:val="0"/>
    <w:pPr>
      <w:spacing w:after="120"/>
      <w:ind w:left="420" w:leftChars="200"/>
    </w:pPr>
    <w:rPr>
      <w:kern w:val="0"/>
      <w:sz w:val="16"/>
      <w:szCs w:val="16"/>
    </w:rPr>
  </w:style>
  <w:style w:type="paragraph" w:styleId="29">
    <w:name w:val="toc 9"/>
    <w:basedOn w:val="1"/>
    <w:next w:val="1"/>
    <w:semiHidden/>
    <w:unhideWhenUsed/>
    <w:qFormat/>
    <w:uiPriority w:val="39"/>
    <w:pPr>
      <w:wordWrap w:val="0"/>
      <w:ind w:left="2975"/>
    </w:pPr>
  </w:style>
  <w:style w:type="paragraph" w:styleId="30">
    <w:name w:val="Body Text 2"/>
    <w:basedOn w:val="1"/>
    <w:link w:val="78"/>
    <w:semiHidden/>
    <w:unhideWhenUsed/>
    <w:qFormat/>
    <w:uiPriority w:val="0"/>
    <w:pPr>
      <w:snapToGrid w:val="0"/>
    </w:pPr>
    <w:rPr>
      <w:b/>
      <w:bCs/>
      <w:kern w:val="0"/>
      <w:sz w:val="18"/>
    </w:rPr>
  </w:style>
  <w:style w:type="paragraph" w:styleId="31">
    <w:name w:val="Message Header"/>
    <w:basedOn w:val="1"/>
    <w:link w:val="7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2">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3">
    <w:name w:val="Body Text First Indent"/>
    <w:basedOn w:val="16"/>
    <w:next w:val="34"/>
    <w:link w:val="77"/>
    <w:semiHidden/>
    <w:unhideWhenUsed/>
    <w:qFormat/>
    <w:uiPriority w:val="0"/>
    <w:pPr>
      <w:spacing w:after="120"/>
      <w:ind w:firstLine="420" w:firstLineChars="100"/>
    </w:pPr>
    <w:rPr>
      <w:rFonts w:ascii="Times New Roman" w:eastAsia="宋体"/>
      <w:szCs w:val="24"/>
    </w:rPr>
  </w:style>
  <w:style w:type="paragraph" w:styleId="34">
    <w:name w:val="Body Text First Indent 2"/>
    <w:basedOn w:val="17"/>
    <w:link w:val="66"/>
    <w:semiHidden/>
    <w:unhideWhenUsed/>
    <w:qFormat/>
    <w:uiPriority w:val="99"/>
    <w:pPr>
      <w:ind w:firstLine="420" w:firstLineChars="200"/>
    </w:p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qFormat/>
    <w:uiPriority w:val="22"/>
    <w:rPr>
      <w:b/>
      <w:bCs/>
      <w:sz w:val="24"/>
    </w:rPr>
  </w:style>
  <w:style w:type="character" w:styleId="39">
    <w:name w:val="page number"/>
    <w:basedOn w:val="37"/>
    <w:semiHidden/>
    <w:unhideWhenUsed/>
    <w:qFormat/>
    <w:uiPriority w:val="0"/>
    <w:rPr>
      <w:sz w:val="24"/>
    </w:rPr>
  </w:style>
  <w:style w:type="character" w:styleId="40">
    <w:name w:val="FollowedHyperlink"/>
    <w:semiHidden/>
    <w:unhideWhenUsed/>
    <w:qFormat/>
    <w:uiPriority w:val="0"/>
    <w:rPr>
      <w:color w:val="800080"/>
      <w:sz w:val="24"/>
      <w:u w:val="none"/>
    </w:rPr>
  </w:style>
  <w:style w:type="character" w:styleId="41">
    <w:name w:val="Emphasis"/>
    <w:qFormat/>
    <w:uiPriority w:val="20"/>
    <w:rPr>
      <w:b/>
      <w:sz w:val="24"/>
    </w:rPr>
  </w:style>
  <w:style w:type="character" w:styleId="42">
    <w:name w:val="HTML Definition"/>
    <w:semiHidden/>
    <w:unhideWhenUsed/>
    <w:qFormat/>
    <w:uiPriority w:val="99"/>
    <w:rPr>
      <w:sz w:val="24"/>
    </w:rPr>
  </w:style>
  <w:style w:type="character" w:styleId="43">
    <w:name w:val="HTML Typewriter"/>
    <w:semiHidden/>
    <w:unhideWhenUsed/>
    <w:qFormat/>
    <w:uiPriority w:val="99"/>
    <w:rPr>
      <w:rFonts w:hint="default" w:ascii="Courier New" w:hAnsi="Courier New" w:eastAsia="Courier New" w:cs="Courier New"/>
      <w:sz w:val="24"/>
      <w:szCs w:val="24"/>
    </w:rPr>
  </w:style>
  <w:style w:type="character" w:styleId="44">
    <w:name w:val="HTML Acronym"/>
    <w:basedOn w:val="37"/>
    <w:semiHidden/>
    <w:unhideWhenUsed/>
    <w:qFormat/>
    <w:uiPriority w:val="99"/>
    <w:rPr>
      <w:sz w:val="24"/>
    </w:rPr>
  </w:style>
  <w:style w:type="character" w:styleId="45">
    <w:name w:val="HTML Variable"/>
    <w:semiHidden/>
    <w:unhideWhenUsed/>
    <w:qFormat/>
    <w:uiPriority w:val="99"/>
    <w:rPr>
      <w:sz w:val="24"/>
    </w:rPr>
  </w:style>
  <w:style w:type="character" w:styleId="46">
    <w:name w:val="Hyperlink"/>
    <w:unhideWhenUsed/>
    <w:qFormat/>
    <w:uiPriority w:val="0"/>
    <w:rPr>
      <w:color w:val="0000FF"/>
      <w:sz w:val="24"/>
      <w:u w:val="none"/>
    </w:rPr>
  </w:style>
  <w:style w:type="character" w:styleId="47">
    <w:name w:val="HTML Code"/>
    <w:semiHidden/>
    <w:unhideWhenUsed/>
    <w:qFormat/>
    <w:uiPriority w:val="99"/>
    <w:rPr>
      <w:rFonts w:hint="default" w:ascii="Courier New" w:hAnsi="Courier New" w:eastAsia="Courier New" w:cs="Courier New"/>
      <w:sz w:val="24"/>
      <w:szCs w:val="24"/>
    </w:rPr>
  </w:style>
  <w:style w:type="character" w:styleId="48">
    <w:name w:val="HTML Cite"/>
    <w:semiHidden/>
    <w:unhideWhenUsed/>
    <w:qFormat/>
    <w:uiPriority w:val="99"/>
    <w:rPr>
      <w:rFonts w:hint="eastAsia" w:ascii="微软雅黑" w:hAnsi="微软雅黑" w:eastAsia="微软雅黑" w:cs="微软雅黑"/>
      <w:color w:val="3D4B64"/>
      <w:sz w:val="19"/>
      <w:szCs w:val="19"/>
    </w:rPr>
  </w:style>
  <w:style w:type="character" w:styleId="49">
    <w:name w:val="HTML Keyboard"/>
    <w:semiHidden/>
    <w:unhideWhenUsed/>
    <w:qFormat/>
    <w:uiPriority w:val="99"/>
    <w:rPr>
      <w:rFonts w:hint="default" w:ascii="Courier New" w:hAnsi="Courier New" w:eastAsia="Courier New" w:cs="Courier New"/>
      <w:sz w:val="24"/>
      <w:szCs w:val="24"/>
    </w:rPr>
  </w:style>
  <w:style w:type="character" w:styleId="50">
    <w:name w:val="HTML Sample"/>
    <w:semiHidden/>
    <w:unhideWhenUsed/>
    <w:qFormat/>
    <w:uiPriority w:val="99"/>
    <w:rPr>
      <w:rFonts w:hint="default" w:ascii="Courier New" w:hAnsi="Courier New" w:eastAsia="Courier New" w:cs="Courier New"/>
      <w:sz w:val="24"/>
    </w:rPr>
  </w:style>
  <w:style w:type="paragraph" w:customStyle="1" w:styleId="51">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5">
    <w:name w:val="首行缩进"/>
    <w:basedOn w:val="1"/>
    <w:qFormat/>
    <w:uiPriority w:val="0"/>
    <w:pPr>
      <w:ind w:firstLine="480" w:firstLineChars="200"/>
    </w:pPr>
    <w:rPr>
      <w:szCs w:val="20"/>
      <w:lang w:val="zh-CN"/>
    </w:rPr>
  </w:style>
  <w:style w:type="character" w:customStyle="1" w:styleId="56">
    <w:name w:val="标题 1 字符"/>
    <w:basedOn w:val="37"/>
    <w:link w:val="2"/>
    <w:qFormat/>
    <w:uiPriority w:val="0"/>
    <w:rPr>
      <w:rFonts w:ascii="Times New Roman" w:hAnsi="Times New Roman" w:eastAsia="宋体" w:cs="Times New Roman"/>
      <w:b/>
      <w:bCs/>
      <w:kern w:val="44"/>
      <w:sz w:val="44"/>
      <w:szCs w:val="44"/>
    </w:rPr>
  </w:style>
  <w:style w:type="character" w:customStyle="1" w:styleId="57">
    <w:name w:val="标题 2 字符"/>
    <w:basedOn w:val="37"/>
    <w:link w:val="3"/>
    <w:semiHidden/>
    <w:qFormat/>
    <w:uiPriority w:val="0"/>
    <w:rPr>
      <w:rFonts w:ascii="Arial" w:hAnsi="Arial" w:eastAsia="黑体" w:cs="Times New Roman"/>
      <w:b/>
      <w:bCs/>
      <w:kern w:val="0"/>
      <w:sz w:val="32"/>
      <w:szCs w:val="32"/>
    </w:rPr>
  </w:style>
  <w:style w:type="character" w:customStyle="1" w:styleId="58">
    <w:name w:val="标题 3 字符"/>
    <w:basedOn w:val="37"/>
    <w:link w:val="4"/>
    <w:semiHidden/>
    <w:qFormat/>
    <w:uiPriority w:val="0"/>
    <w:rPr>
      <w:rFonts w:ascii="Times New Roman" w:hAnsi="Times New Roman" w:eastAsia="宋体" w:cs="Times New Roman"/>
      <w:b/>
      <w:bCs/>
      <w:kern w:val="0"/>
      <w:sz w:val="32"/>
      <w:szCs w:val="32"/>
    </w:rPr>
  </w:style>
  <w:style w:type="character" w:customStyle="1" w:styleId="59">
    <w:name w:val="标题 4 字符"/>
    <w:basedOn w:val="37"/>
    <w:link w:val="5"/>
    <w:semiHidden/>
    <w:qFormat/>
    <w:uiPriority w:val="0"/>
    <w:rPr>
      <w:rFonts w:ascii="Times New Roman" w:hAnsi="Times New Roman" w:eastAsia="新宋体" w:cs="Times New Roman"/>
      <w:kern w:val="0"/>
      <w:sz w:val="30"/>
      <w:szCs w:val="21"/>
    </w:rPr>
  </w:style>
  <w:style w:type="character" w:customStyle="1" w:styleId="60">
    <w:name w:val="标题 5 字符"/>
    <w:basedOn w:val="37"/>
    <w:link w:val="6"/>
    <w:semiHidden/>
    <w:qFormat/>
    <w:uiPriority w:val="0"/>
    <w:rPr>
      <w:rFonts w:ascii="Times New Roman" w:hAnsi="Times New Roman" w:eastAsia="宋体" w:cs="Times New Roman"/>
      <w:b/>
      <w:bCs/>
      <w:kern w:val="0"/>
      <w:sz w:val="28"/>
      <w:szCs w:val="28"/>
    </w:rPr>
  </w:style>
  <w:style w:type="character" w:customStyle="1" w:styleId="61">
    <w:name w:val="标题 6 字符"/>
    <w:basedOn w:val="37"/>
    <w:link w:val="7"/>
    <w:semiHidden/>
    <w:qFormat/>
    <w:uiPriority w:val="0"/>
    <w:rPr>
      <w:rFonts w:ascii="Times New Roman" w:hAnsi="Times New Roman" w:eastAsia="宋体" w:cs="Times New Roman"/>
      <w:b/>
      <w:kern w:val="0"/>
      <w:sz w:val="44"/>
      <w:szCs w:val="20"/>
    </w:rPr>
  </w:style>
  <w:style w:type="character" w:customStyle="1" w:styleId="62">
    <w:name w:val="标题 7 字符"/>
    <w:basedOn w:val="37"/>
    <w:link w:val="8"/>
    <w:semiHidden/>
    <w:qFormat/>
    <w:uiPriority w:val="0"/>
    <w:rPr>
      <w:rFonts w:ascii="Times New Roman" w:hAnsi="Times New Roman" w:eastAsia="宋体" w:cs="Times New Roman"/>
      <w:b/>
      <w:bCs/>
      <w:kern w:val="0"/>
      <w:sz w:val="24"/>
      <w:szCs w:val="24"/>
    </w:rPr>
  </w:style>
  <w:style w:type="character" w:customStyle="1" w:styleId="63">
    <w:name w:val="标题 8 字符"/>
    <w:basedOn w:val="37"/>
    <w:link w:val="9"/>
    <w:semiHidden/>
    <w:qFormat/>
    <w:uiPriority w:val="0"/>
    <w:rPr>
      <w:rFonts w:ascii="Arial" w:hAnsi="Arial" w:eastAsia="黑体" w:cs="Times New Roman"/>
      <w:kern w:val="0"/>
      <w:sz w:val="24"/>
      <w:szCs w:val="24"/>
    </w:rPr>
  </w:style>
  <w:style w:type="character" w:customStyle="1" w:styleId="64">
    <w:name w:val="标题 9 字符"/>
    <w:basedOn w:val="37"/>
    <w:link w:val="10"/>
    <w:semiHidden/>
    <w:qFormat/>
    <w:uiPriority w:val="0"/>
    <w:rPr>
      <w:rFonts w:ascii="Arial" w:hAnsi="Arial" w:eastAsia="黑体" w:cs="Times New Roman"/>
      <w:kern w:val="0"/>
      <w:sz w:val="24"/>
      <w:szCs w:val="21"/>
    </w:rPr>
  </w:style>
  <w:style w:type="character" w:customStyle="1" w:styleId="65">
    <w:name w:val="正文文本缩进 字符"/>
    <w:basedOn w:val="37"/>
    <w:link w:val="17"/>
    <w:semiHidden/>
    <w:qFormat/>
    <w:uiPriority w:val="0"/>
    <w:rPr>
      <w:rFonts w:ascii="Times New Roman" w:hAnsi="Times New Roman" w:eastAsia="宋体" w:cs="Times New Roman"/>
      <w:szCs w:val="24"/>
    </w:rPr>
  </w:style>
  <w:style w:type="character" w:customStyle="1" w:styleId="66">
    <w:name w:val="正文文本首行缩进 2 字符"/>
    <w:basedOn w:val="65"/>
    <w:link w:val="34"/>
    <w:semiHidden/>
    <w:qFormat/>
    <w:uiPriority w:val="99"/>
    <w:rPr>
      <w:rFonts w:ascii="Times New Roman" w:hAnsi="Times New Roman" w:eastAsia="宋体" w:cs="Times New Roman"/>
      <w:szCs w:val="24"/>
    </w:rPr>
  </w:style>
  <w:style w:type="paragraph" w:customStyle="1" w:styleId="67">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8">
    <w:name w:val="正文缩进 字符"/>
    <w:link w:val="11"/>
    <w:semiHidden/>
    <w:qFormat/>
    <w:locked/>
    <w:uiPriority w:val="0"/>
  </w:style>
  <w:style w:type="character" w:customStyle="1" w:styleId="69">
    <w:name w:val="页眉 字符"/>
    <w:basedOn w:val="37"/>
    <w:link w:val="25"/>
    <w:qFormat/>
    <w:uiPriority w:val="0"/>
    <w:rPr>
      <w:rFonts w:ascii="Times New Roman" w:hAnsi="Times New Roman" w:eastAsia="宋体" w:cs="Times New Roman"/>
      <w:kern w:val="0"/>
      <w:sz w:val="18"/>
      <w:szCs w:val="18"/>
    </w:rPr>
  </w:style>
  <w:style w:type="character" w:customStyle="1" w:styleId="70">
    <w:name w:val="页脚 字符"/>
    <w:basedOn w:val="37"/>
    <w:link w:val="23"/>
    <w:qFormat/>
    <w:uiPriority w:val="99"/>
    <w:rPr>
      <w:rFonts w:ascii="Times New Roman" w:hAnsi="Times New Roman" w:eastAsia="宋体" w:cs="Times New Roman"/>
      <w:kern w:val="0"/>
      <w:sz w:val="18"/>
      <w:szCs w:val="20"/>
    </w:rPr>
  </w:style>
  <w:style w:type="paragraph" w:customStyle="1" w:styleId="71">
    <w:name w:val="一级条标题"/>
    <w:basedOn w:val="72"/>
    <w:next w:val="7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3">
    <w:name w:val="段"/>
    <w:basedOn w:val="1"/>
    <w:next w:val="1"/>
    <w:qFormat/>
    <w:uiPriority w:val="0"/>
    <w:pPr>
      <w:widowControl/>
      <w:autoSpaceDE w:val="0"/>
      <w:autoSpaceDN w:val="0"/>
      <w:ind w:firstLine="200" w:firstLineChars="200"/>
    </w:pPr>
    <w:rPr>
      <w:rFonts w:ascii="宋体"/>
      <w:kern w:val="0"/>
    </w:rPr>
  </w:style>
  <w:style w:type="character" w:customStyle="1" w:styleId="74">
    <w:name w:val="正文文本 字符"/>
    <w:basedOn w:val="37"/>
    <w:link w:val="16"/>
    <w:semiHidden/>
    <w:qFormat/>
    <w:uiPriority w:val="0"/>
    <w:rPr>
      <w:rFonts w:ascii="仿宋_GB2312" w:hAnsi="Times New Roman" w:eastAsia="仿宋_GB2312" w:cs="Times New Roman"/>
      <w:kern w:val="0"/>
      <w:sz w:val="24"/>
      <w:szCs w:val="20"/>
    </w:rPr>
  </w:style>
  <w:style w:type="character" w:customStyle="1" w:styleId="75">
    <w:name w:val="信息标题 字符"/>
    <w:basedOn w:val="37"/>
    <w:link w:val="31"/>
    <w:semiHidden/>
    <w:qFormat/>
    <w:uiPriority w:val="99"/>
    <w:rPr>
      <w:rFonts w:ascii="Cambria" w:hAnsi="Cambria" w:eastAsia="宋体" w:cs="Times New Roman"/>
      <w:sz w:val="24"/>
      <w:szCs w:val="24"/>
      <w:shd w:val="pct20" w:color="auto" w:fill="auto"/>
    </w:rPr>
  </w:style>
  <w:style w:type="character" w:customStyle="1" w:styleId="76">
    <w:name w:val="日期 字符"/>
    <w:basedOn w:val="37"/>
    <w:link w:val="20"/>
    <w:semiHidden/>
    <w:qFormat/>
    <w:uiPriority w:val="0"/>
    <w:rPr>
      <w:rFonts w:ascii="Times New Roman" w:hAnsi="Times New Roman" w:eastAsia="宋体" w:cs="Times New Roman"/>
      <w:kern w:val="0"/>
      <w:sz w:val="24"/>
      <w:szCs w:val="20"/>
    </w:rPr>
  </w:style>
  <w:style w:type="character" w:customStyle="1" w:styleId="77">
    <w:name w:val="正文文本首行缩进 字符"/>
    <w:basedOn w:val="74"/>
    <w:link w:val="33"/>
    <w:semiHidden/>
    <w:qFormat/>
    <w:uiPriority w:val="0"/>
    <w:rPr>
      <w:rFonts w:ascii="Times New Roman" w:hAnsi="Times New Roman" w:eastAsia="宋体" w:cs="Times New Roman"/>
      <w:kern w:val="0"/>
      <w:sz w:val="24"/>
      <w:szCs w:val="24"/>
    </w:rPr>
  </w:style>
  <w:style w:type="character" w:customStyle="1" w:styleId="78">
    <w:name w:val="正文文本 2 字符"/>
    <w:basedOn w:val="37"/>
    <w:link w:val="30"/>
    <w:semiHidden/>
    <w:qFormat/>
    <w:uiPriority w:val="0"/>
    <w:rPr>
      <w:rFonts w:ascii="Times New Roman" w:hAnsi="Times New Roman" w:eastAsia="宋体" w:cs="Times New Roman"/>
      <w:b/>
      <w:bCs/>
      <w:kern w:val="0"/>
      <w:sz w:val="18"/>
      <w:szCs w:val="24"/>
    </w:rPr>
  </w:style>
  <w:style w:type="character" w:customStyle="1" w:styleId="79">
    <w:name w:val="正文文本 3 字符"/>
    <w:basedOn w:val="37"/>
    <w:link w:val="15"/>
    <w:semiHidden/>
    <w:qFormat/>
    <w:uiPriority w:val="0"/>
    <w:rPr>
      <w:rFonts w:ascii="Times New Roman" w:hAnsi="Times New Roman" w:eastAsia="宋体" w:cs="Times New Roman"/>
      <w:kern w:val="0"/>
      <w:sz w:val="16"/>
      <w:szCs w:val="16"/>
    </w:rPr>
  </w:style>
  <w:style w:type="character" w:customStyle="1" w:styleId="80">
    <w:name w:val="正文文本缩进 2 字符"/>
    <w:basedOn w:val="37"/>
    <w:link w:val="21"/>
    <w:semiHidden/>
    <w:qFormat/>
    <w:uiPriority w:val="0"/>
    <w:rPr>
      <w:rFonts w:ascii="Times New Roman" w:hAnsi="Times New Roman" w:eastAsia="仿宋_GB2312" w:cs="Times New Roman"/>
      <w:kern w:val="0"/>
      <w:sz w:val="28"/>
      <w:szCs w:val="20"/>
    </w:rPr>
  </w:style>
  <w:style w:type="character" w:customStyle="1" w:styleId="81">
    <w:name w:val="正文文本缩进 3 字符"/>
    <w:basedOn w:val="37"/>
    <w:link w:val="28"/>
    <w:semiHidden/>
    <w:qFormat/>
    <w:uiPriority w:val="0"/>
    <w:rPr>
      <w:rFonts w:ascii="Times New Roman" w:hAnsi="Times New Roman" w:eastAsia="宋体" w:cs="Times New Roman"/>
      <w:kern w:val="0"/>
      <w:sz w:val="16"/>
      <w:szCs w:val="16"/>
    </w:rPr>
  </w:style>
  <w:style w:type="character" w:customStyle="1" w:styleId="82">
    <w:name w:val="文档结构图 字符"/>
    <w:basedOn w:val="37"/>
    <w:link w:val="12"/>
    <w:semiHidden/>
    <w:qFormat/>
    <w:uiPriority w:val="0"/>
    <w:rPr>
      <w:rFonts w:ascii="Times New Roman" w:hAnsi="Times New Roman" w:eastAsia="宋体" w:cs="Times New Roman"/>
      <w:kern w:val="0"/>
      <w:sz w:val="24"/>
      <w:szCs w:val="24"/>
      <w:shd w:val="clear" w:color="auto" w:fill="000080"/>
    </w:rPr>
  </w:style>
  <w:style w:type="character" w:customStyle="1" w:styleId="83">
    <w:name w:val="纯文本 字符"/>
    <w:basedOn w:val="37"/>
    <w:link w:val="19"/>
    <w:semiHidden/>
    <w:qFormat/>
    <w:uiPriority w:val="0"/>
    <w:rPr>
      <w:rFonts w:ascii="宋体" w:hAnsi="Courier New" w:eastAsia="宋体" w:cs="Times New Roman"/>
      <w:kern w:val="0"/>
      <w:sz w:val="24"/>
      <w:szCs w:val="21"/>
    </w:rPr>
  </w:style>
  <w:style w:type="character" w:customStyle="1" w:styleId="84">
    <w:name w:val="批注框文本 字符"/>
    <w:basedOn w:val="37"/>
    <w:link w:val="22"/>
    <w:semiHidden/>
    <w:qFormat/>
    <w:uiPriority w:val="0"/>
    <w:rPr>
      <w:rFonts w:ascii="Times New Roman" w:hAnsi="Times New Roman" w:eastAsia="宋体" w:cs="Times New Roman"/>
      <w:kern w:val="0"/>
      <w:sz w:val="18"/>
      <w:szCs w:val="18"/>
    </w:rPr>
  </w:style>
  <w:style w:type="paragraph" w:customStyle="1" w:styleId="85">
    <w:name w:val="List Paragraph1"/>
    <w:basedOn w:val="1"/>
    <w:next w:val="86"/>
    <w:qFormat/>
    <w:uiPriority w:val="0"/>
    <w:pPr>
      <w:ind w:firstLine="420"/>
    </w:pPr>
    <w:rPr>
      <w:rFonts w:hAnsi="宋体" w:cs="宋体"/>
      <w:kern w:val="0"/>
      <w:szCs w:val="20"/>
    </w:rPr>
  </w:style>
  <w:style w:type="paragraph" w:customStyle="1" w:styleId="86">
    <w:name w:val="Char Char Char Char"/>
    <w:basedOn w:val="1"/>
    <w:qFormat/>
    <w:uiPriority w:val="0"/>
    <w:rPr>
      <w:rFonts w:ascii="Tahoma" w:hAnsi="Tahoma"/>
      <w:sz w:val="24"/>
      <w:szCs w:val="20"/>
    </w:rPr>
  </w:style>
  <w:style w:type="paragraph" w:customStyle="1" w:styleId="87">
    <w:name w:val="正文缩进1"/>
    <w:basedOn w:val="1"/>
    <w:next w:val="85"/>
    <w:qFormat/>
    <w:uiPriority w:val="0"/>
    <w:pPr>
      <w:widowControl/>
      <w:ind w:firstLine="420"/>
      <w:jc w:val="left"/>
    </w:pPr>
    <w:rPr>
      <w:kern w:val="0"/>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character" w:customStyle="1" w:styleId="89">
    <w:name w:val="FA正文 Char"/>
    <w:link w:val="90"/>
    <w:qFormat/>
    <w:locked/>
    <w:uiPriority w:val="0"/>
    <w:rPr>
      <w:rFonts w:ascii="宋体" w:hAnsi="宋体" w:eastAsia="宋体"/>
      <w:sz w:val="28"/>
      <w:szCs w:val="28"/>
    </w:rPr>
  </w:style>
  <w:style w:type="paragraph" w:customStyle="1" w:styleId="90">
    <w:name w:val="FA正文"/>
    <w:basedOn w:val="1"/>
    <w:link w:val="89"/>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1">
    <w:name w:val="普通正文 Char"/>
    <w:link w:val="92"/>
    <w:qFormat/>
    <w:locked/>
    <w:uiPriority w:val="0"/>
    <w:rPr>
      <w:rFonts w:ascii="Arial" w:hAnsi="Arial" w:cs="Arial"/>
      <w:sz w:val="24"/>
      <w:szCs w:val="24"/>
    </w:rPr>
  </w:style>
  <w:style w:type="paragraph" w:customStyle="1" w:styleId="92">
    <w:name w:val="普通正文"/>
    <w:basedOn w:val="1"/>
    <w:link w:val="91"/>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3">
    <w:name w:val="ssss Char1"/>
    <w:link w:val="94"/>
    <w:qFormat/>
    <w:locked/>
    <w:uiPriority w:val="0"/>
    <w:rPr>
      <w:sz w:val="24"/>
      <w:szCs w:val="24"/>
    </w:rPr>
  </w:style>
  <w:style w:type="paragraph" w:customStyle="1" w:styleId="94">
    <w:name w:val="ssss"/>
    <w:basedOn w:val="1"/>
    <w:link w:val="93"/>
    <w:qFormat/>
    <w:uiPriority w:val="0"/>
    <w:pPr>
      <w:spacing w:line="360" w:lineRule="auto"/>
      <w:ind w:firstLine="480" w:firstLineChars="200"/>
    </w:pPr>
    <w:rPr>
      <w:rFonts w:asciiTheme="minorHAnsi" w:hAnsiTheme="minorHAnsi" w:eastAsiaTheme="minorEastAsia" w:cstheme="minorBidi"/>
      <w:sz w:val="24"/>
    </w:rPr>
  </w:style>
  <w:style w:type="character" w:customStyle="1" w:styleId="95">
    <w:name w:val="样式 ssss + 宋体 五号1 Char"/>
    <w:link w:val="96"/>
    <w:qFormat/>
    <w:locked/>
    <w:uiPriority w:val="0"/>
    <w:rPr>
      <w:rFonts w:ascii="宋体" w:hAnsi="宋体" w:eastAsia="宋体"/>
      <w:sz w:val="24"/>
      <w:szCs w:val="24"/>
    </w:rPr>
  </w:style>
  <w:style w:type="paragraph" w:customStyle="1" w:styleId="96">
    <w:name w:val="样式 ssss + 宋体 五号1"/>
    <w:basedOn w:val="94"/>
    <w:link w:val="95"/>
    <w:qFormat/>
    <w:uiPriority w:val="0"/>
    <w:rPr>
      <w:rFonts w:ascii="宋体" w:hAnsi="宋体" w:eastAsia="宋体"/>
    </w:rPr>
  </w:style>
  <w:style w:type="character" w:customStyle="1" w:styleId="97">
    <w:name w:val="正文缩进2格 Char"/>
    <w:link w:val="98"/>
    <w:qFormat/>
    <w:locked/>
    <w:uiPriority w:val="0"/>
    <w:rPr>
      <w:rFonts w:ascii="仿宋_GB2312" w:hAnsi="宋体" w:eastAsia="仿宋_GB2312"/>
      <w:sz w:val="31"/>
      <w:szCs w:val="28"/>
    </w:rPr>
  </w:style>
  <w:style w:type="paragraph" w:customStyle="1" w:styleId="98">
    <w:name w:val="正文缩进2格"/>
    <w:basedOn w:val="1"/>
    <w:link w:val="97"/>
    <w:qFormat/>
    <w:uiPriority w:val="0"/>
    <w:pPr>
      <w:spacing w:line="600" w:lineRule="exact"/>
      <w:ind w:firstLine="639" w:firstLineChars="206"/>
    </w:pPr>
    <w:rPr>
      <w:rFonts w:ascii="仿宋_GB2312" w:hAnsi="宋体" w:eastAsia="仿宋_GB2312" w:cstheme="minorBidi"/>
      <w:sz w:val="31"/>
      <w:szCs w:val="28"/>
    </w:rPr>
  </w:style>
  <w:style w:type="paragraph" w:customStyle="1" w:styleId="99">
    <w:name w:val="样式 ssss + 宋体 五号"/>
    <w:basedOn w:val="94"/>
    <w:qFormat/>
    <w:uiPriority w:val="0"/>
    <w:pPr>
      <w:ind w:firstLine="420"/>
    </w:pPr>
    <w:rPr>
      <w:rFonts w:ascii="宋体" w:hAnsi="宋体" w:cs="宋体"/>
      <w:szCs w:val="20"/>
    </w:rPr>
  </w:style>
  <w:style w:type="paragraph" w:customStyle="1" w:styleId="100">
    <w:name w:val="Char Char Char Char Char Char Char Char Char Char Char Char Char"/>
    <w:basedOn w:val="1"/>
    <w:qFormat/>
    <w:uiPriority w:val="0"/>
  </w:style>
  <w:style w:type="paragraph" w:customStyle="1" w:styleId="101">
    <w:name w:val="Char"/>
    <w:basedOn w:val="1"/>
    <w:qFormat/>
    <w:uiPriority w:val="0"/>
    <w:rPr>
      <w:rFonts w:ascii="Tahoma" w:hAnsi="Tahoma"/>
      <w:sz w:val="24"/>
      <w:szCs w:val="20"/>
    </w:rPr>
  </w:style>
  <w:style w:type="paragraph" w:customStyle="1" w:styleId="102">
    <w:name w:val="Char Char Char"/>
    <w:basedOn w:val="1"/>
    <w:qFormat/>
    <w:uiPriority w:val="0"/>
    <w:rPr>
      <w:rFonts w:ascii="Tahoma" w:hAnsi="Tahoma"/>
      <w:sz w:val="24"/>
      <w:szCs w:val="20"/>
    </w:rPr>
  </w:style>
  <w:style w:type="paragraph" w:customStyle="1" w:styleId="10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5">
    <w:name w:val="正文样式1"/>
    <w:basedOn w:val="1"/>
    <w:qFormat/>
    <w:uiPriority w:val="0"/>
    <w:pPr>
      <w:spacing w:before="120" w:after="120" w:line="360" w:lineRule="auto"/>
      <w:ind w:firstLine="480" w:firstLineChars="200"/>
    </w:pPr>
    <w:rPr>
      <w:sz w:val="24"/>
      <w:szCs w:val="20"/>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表格"/>
    <w:basedOn w:val="1"/>
    <w:qFormat/>
    <w:uiPriority w:val="0"/>
    <w:rPr>
      <w:rFonts w:ascii="Arial" w:hAnsi="Arial"/>
      <w:sz w:val="24"/>
    </w:r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标题-----3"/>
    <w:basedOn w:val="4"/>
    <w:qFormat/>
    <w:uiPriority w:val="0"/>
    <w:pPr>
      <w:spacing w:before="0" w:after="0" w:line="240" w:lineRule="auto"/>
      <w:outlineLvl w:val="0"/>
    </w:pPr>
    <w:rPr>
      <w:rFonts w:ascii="宋体" w:hAnsi="宋体"/>
      <w:b w:val="0"/>
      <w:bCs w:val="0"/>
      <w:sz w:val="28"/>
      <w:szCs w:val="28"/>
    </w:rPr>
  </w:style>
  <w:style w:type="paragraph" w:customStyle="1" w:styleId="111">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Char Char"/>
    <w:basedOn w:val="1"/>
    <w:qFormat/>
    <w:uiPriority w:val="0"/>
    <w:rPr>
      <w:rFonts w:ascii="Tahoma" w:hAnsi="Tahoma"/>
      <w:sz w:val="24"/>
      <w:szCs w:val="20"/>
    </w:rPr>
  </w:style>
  <w:style w:type="paragraph" w:customStyle="1" w:styleId="11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7">
    <w:name w:val="样式 正文文本缩进 3 + 四号"/>
    <w:basedOn w:val="28"/>
    <w:qFormat/>
    <w:uiPriority w:val="0"/>
    <w:pPr>
      <w:spacing w:after="0" w:line="360" w:lineRule="auto"/>
      <w:ind w:left="0" w:leftChars="0" w:firstLine="437"/>
    </w:pPr>
    <w:rPr>
      <w:sz w:val="24"/>
      <w:szCs w:val="21"/>
    </w:rPr>
  </w:style>
  <w:style w:type="paragraph" w:customStyle="1" w:styleId="118">
    <w:name w:val="Header2"/>
    <w:basedOn w:val="1"/>
    <w:qFormat/>
    <w:uiPriority w:val="0"/>
    <w:pPr>
      <w:numPr>
        <w:ilvl w:val="0"/>
        <w:numId w:val="1"/>
      </w:numPr>
    </w:pPr>
  </w:style>
  <w:style w:type="paragraph" w:customStyle="1" w:styleId="119">
    <w:name w:val="样式 样式 ssss + 宋体 五号 + 首行缩进:  2 字符"/>
    <w:basedOn w:val="99"/>
    <w:qFormat/>
    <w:uiPriority w:val="0"/>
    <w:pPr>
      <w:ind w:firstLine="480"/>
    </w:pPr>
  </w:style>
  <w:style w:type="paragraph" w:customStyle="1" w:styleId="120">
    <w:name w:val="样式 ssss + 居中"/>
    <w:basedOn w:val="94"/>
    <w:qFormat/>
    <w:uiPriority w:val="0"/>
    <w:pPr>
      <w:jc w:val="center"/>
    </w:pPr>
    <w:rPr>
      <w:rFonts w:cs="宋体"/>
      <w:szCs w:val="20"/>
    </w:rPr>
  </w:style>
  <w:style w:type="paragraph" w:customStyle="1" w:styleId="121">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2">
    <w:name w:val="标准文本"/>
    <w:basedOn w:val="1"/>
    <w:qFormat/>
    <w:uiPriority w:val="0"/>
    <w:pPr>
      <w:spacing w:line="360" w:lineRule="auto"/>
      <w:ind w:firstLine="480" w:firstLineChars="200"/>
    </w:pPr>
    <w:rPr>
      <w:kern w:val="0"/>
      <w:sz w:val="24"/>
      <w:szCs w:val="20"/>
    </w:rPr>
  </w:style>
  <w:style w:type="paragraph" w:customStyle="1" w:styleId="123">
    <w:name w:val="列表段落1"/>
    <w:basedOn w:val="1"/>
    <w:qFormat/>
    <w:uiPriority w:val="0"/>
    <w:pPr>
      <w:ind w:firstLine="420" w:firstLineChars="200"/>
    </w:pPr>
  </w:style>
  <w:style w:type="paragraph" w:customStyle="1" w:styleId="124">
    <w:name w:val="ListBullet2"/>
    <w:basedOn w:val="1"/>
    <w:qFormat/>
    <w:uiPriority w:val="0"/>
    <w:pPr>
      <w:numPr>
        <w:ilvl w:val="0"/>
        <w:numId w:val="2"/>
      </w:numPr>
      <w:tabs>
        <w:tab w:val="decimal" w:pos="780"/>
      </w:tabs>
    </w:pPr>
  </w:style>
  <w:style w:type="paragraph" w:customStyle="1" w:styleId="12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批注框文本 Char1"/>
    <w:semiHidden/>
    <w:qFormat/>
    <w:uiPriority w:val="99"/>
    <w:rPr>
      <w:rFonts w:hint="default" w:ascii="Times New Roman" w:hAnsi="Times New Roman" w:eastAsia="宋体" w:cs="Times New Roman"/>
      <w:sz w:val="18"/>
      <w:szCs w:val="18"/>
    </w:rPr>
  </w:style>
  <w:style w:type="character" w:customStyle="1" w:styleId="127">
    <w:name w:val="文档结构图 Char1"/>
    <w:semiHidden/>
    <w:qFormat/>
    <w:uiPriority w:val="99"/>
    <w:rPr>
      <w:rFonts w:hint="eastAsia" w:ascii="宋体" w:hAnsi="Times New Roman" w:eastAsia="宋体" w:cs="Times New Roman"/>
      <w:sz w:val="18"/>
      <w:szCs w:val="18"/>
    </w:rPr>
  </w:style>
  <w:style w:type="character" w:customStyle="1" w:styleId="128">
    <w:name w:val="ssss Char"/>
    <w:qFormat/>
    <w:uiPriority w:val="0"/>
    <w:rPr>
      <w:rFonts w:hint="eastAsia" w:ascii="宋体" w:hAnsi="宋体" w:eastAsia="宋体"/>
      <w:kern w:val="2"/>
      <w:sz w:val="24"/>
      <w:szCs w:val="24"/>
      <w:lang w:val="en-US" w:eastAsia="zh-CN" w:bidi="ar-SA"/>
    </w:rPr>
  </w:style>
  <w:style w:type="character" w:customStyle="1" w:styleId="129">
    <w:name w:val="标题 4 Char1"/>
    <w:qFormat/>
    <w:uiPriority w:val="0"/>
    <w:rPr>
      <w:rFonts w:hint="default" w:ascii="Arial" w:hAnsi="Arial" w:eastAsia="黑体" w:cs="Arial"/>
      <w:b/>
      <w:bCs/>
      <w:kern w:val="2"/>
      <w:sz w:val="28"/>
      <w:szCs w:val="28"/>
      <w:lang w:val="en-US" w:eastAsia="zh-CN" w:bidi="ar-SA"/>
    </w:rPr>
  </w:style>
  <w:style w:type="character" w:customStyle="1" w:styleId="130">
    <w:name w:val="point_normal1"/>
    <w:qFormat/>
    <w:uiPriority w:val="0"/>
    <w:rPr>
      <w:rFonts w:hint="default" w:ascii="Arial" w:hAnsi="Arial" w:cs="Arial"/>
      <w:sz w:val="16"/>
      <w:szCs w:val="16"/>
    </w:rPr>
  </w:style>
  <w:style w:type="character" w:customStyle="1" w:styleId="131">
    <w:name w:val="cn_text1"/>
    <w:qFormat/>
    <w:uiPriority w:val="0"/>
    <w:rPr>
      <w:rFonts w:hint="default" w:ascii="ˎ̥" w:hAnsi="ˎ̥"/>
      <w:color w:val="003399"/>
      <w:spacing w:val="15"/>
      <w:sz w:val="18"/>
      <w:szCs w:val="18"/>
    </w:rPr>
  </w:style>
  <w:style w:type="character" w:customStyle="1" w:styleId="132">
    <w:name w:val="font61"/>
    <w:qFormat/>
    <w:uiPriority w:val="0"/>
    <w:rPr>
      <w:rFonts w:hint="eastAsia" w:ascii="宋体" w:hAnsi="宋体" w:eastAsia="宋体" w:cs="宋体"/>
      <w:color w:val="000000"/>
      <w:sz w:val="21"/>
      <w:szCs w:val="21"/>
      <w:u w:val="none"/>
    </w:rPr>
  </w:style>
  <w:style w:type="character" w:customStyle="1" w:styleId="133">
    <w:name w:val="font51"/>
    <w:qFormat/>
    <w:uiPriority w:val="0"/>
    <w:rPr>
      <w:rFonts w:hint="default" w:ascii="Times New Roman" w:hAnsi="Times New Roman" w:cs="Times New Roman"/>
      <w:color w:val="000000"/>
      <w:sz w:val="21"/>
      <w:szCs w:val="21"/>
      <w:u w:val="none"/>
    </w:rPr>
  </w:style>
  <w:style w:type="character" w:customStyle="1" w:styleId="134">
    <w:name w:val="font101"/>
    <w:basedOn w:val="37"/>
    <w:qFormat/>
    <w:uiPriority w:val="0"/>
    <w:rPr>
      <w:rFonts w:hint="eastAsia" w:ascii="宋体" w:hAnsi="宋体" w:eastAsia="宋体" w:cs="宋体"/>
      <w:b/>
      <w:bCs/>
      <w:color w:val="000000"/>
      <w:sz w:val="28"/>
      <w:szCs w:val="28"/>
      <w:u w:val="none"/>
    </w:rPr>
  </w:style>
  <w:style w:type="character" w:customStyle="1" w:styleId="135">
    <w:name w:val="font141"/>
    <w:basedOn w:val="37"/>
    <w:qFormat/>
    <w:uiPriority w:val="0"/>
    <w:rPr>
      <w:rFonts w:hint="default" w:ascii="Times New Roman" w:hAnsi="Times New Roman" w:cs="Times New Roman"/>
      <w:b/>
      <w:bCs/>
      <w:color w:val="000000"/>
      <w:sz w:val="28"/>
      <w:szCs w:val="28"/>
      <w:u w:val="none"/>
    </w:rPr>
  </w:style>
  <w:style w:type="character" w:customStyle="1" w:styleId="136">
    <w:name w:val="font41"/>
    <w:basedOn w:val="37"/>
    <w:qFormat/>
    <w:uiPriority w:val="0"/>
    <w:rPr>
      <w:rFonts w:hint="eastAsia" w:ascii="宋体" w:hAnsi="宋体" w:eastAsia="宋体" w:cs="宋体"/>
      <w:color w:val="000000"/>
      <w:sz w:val="30"/>
      <w:szCs w:val="30"/>
      <w:u w:val="none"/>
    </w:rPr>
  </w:style>
  <w:style w:type="character" w:customStyle="1" w:styleId="137">
    <w:name w:val="font71"/>
    <w:basedOn w:val="37"/>
    <w:qFormat/>
    <w:uiPriority w:val="0"/>
    <w:rPr>
      <w:rFonts w:hint="eastAsia" w:ascii="宋体" w:hAnsi="宋体" w:eastAsia="宋体" w:cs="宋体"/>
      <w:color w:val="000000"/>
      <w:sz w:val="30"/>
      <w:szCs w:val="30"/>
      <w:u w:val="none"/>
      <w:vertAlign w:val="superscript"/>
    </w:rPr>
  </w:style>
  <w:style w:type="character" w:customStyle="1" w:styleId="138">
    <w:name w:val="font21"/>
    <w:basedOn w:val="37"/>
    <w:qFormat/>
    <w:uiPriority w:val="0"/>
    <w:rPr>
      <w:rFonts w:hint="eastAsia" w:ascii="宋体" w:hAnsi="宋体" w:eastAsia="宋体" w:cs="宋体"/>
      <w:b/>
      <w:bCs/>
      <w:color w:val="000000"/>
      <w:sz w:val="30"/>
      <w:szCs w:val="30"/>
      <w:u w:val="none"/>
    </w:rPr>
  </w:style>
  <w:style w:type="character" w:customStyle="1" w:styleId="139">
    <w:name w:val="font91"/>
    <w:basedOn w:val="37"/>
    <w:qFormat/>
    <w:uiPriority w:val="0"/>
    <w:rPr>
      <w:rFonts w:hint="default" w:ascii="Times New Roman" w:hAnsi="Times New Roman" w:cs="Times New Roman"/>
      <w:b/>
      <w:bCs/>
      <w:color w:val="000000"/>
      <w:sz w:val="30"/>
      <w:szCs w:val="30"/>
      <w:u w:val="none"/>
    </w:rPr>
  </w:style>
  <w:style w:type="character" w:customStyle="1" w:styleId="140">
    <w:name w:val="font11"/>
    <w:basedOn w:val="37"/>
    <w:qFormat/>
    <w:uiPriority w:val="0"/>
    <w:rPr>
      <w:rFonts w:hint="eastAsia" w:ascii="仿宋" w:hAnsi="仿宋" w:eastAsia="仿宋" w:cs="仿宋"/>
      <w:color w:val="000000"/>
      <w:sz w:val="24"/>
      <w:szCs w:val="24"/>
      <w:u w:val="none"/>
    </w:rPr>
  </w:style>
  <w:style w:type="character" w:customStyle="1" w:styleId="141">
    <w:name w:val="font31"/>
    <w:basedOn w:val="37"/>
    <w:qFormat/>
    <w:uiPriority w:val="0"/>
    <w:rPr>
      <w:rFonts w:hint="eastAsia" w:ascii="仿宋" w:hAnsi="仿宋" w:eastAsia="仿宋" w:cs="仿宋"/>
      <w:b/>
      <w:bCs/>
      <w:color w:val="FF0000"/>
      <w:sz w:val="24"/>
      <w:szCs w:val="24"/>
      <w:u w:val="none"/>
    </w:rPr>
  </w:style>
  <w:style w:type="character" w:customStyle="1" w:styleId="142">
    <w:name w:val="未处理的提及1"/>
    <w:basedOn w:val="37"/>
    <w:semiHidden/>
    <w:unhideWhenUsed/>
    <w:qFormat/>
    <w:uiPriority w:val="99"/>
    <w:rPr>
      <w:color w:val="605E5C"/>
      <w:shd w:val="clear" w:color="auto" w:fill="E1DFDD"/>
    </w:rPr>
  </w:style>
  <w:style w:type="paragraph" w:customStyle="1" w:styleId="143">
    <w:name w:val="图例"/>
    <w:basedOn w:val="1"/>
    <w:qFormat/>
    <w:uiPriority w:val="0"/>
    <w:pPr>
      <w:spacing w:before="120" w:after="120" w:line="360" w:lineRule="auto"/>
      <w:jc w:val="center"/>
    </w:pPr>
    <w:rPr>
      <w:rFonts w:eastAsia="仿宋_GB2312"/>
      <w:b/>
      <w:sz w:val="24"/>
      <w:szCs w:val="20"/>
    </w:rPr>
  </w:style>
  <w:style w:type="character" w:customStyle="1" w:styleId="144">
    <w:name w:val="font131"/>
    <w:basedOn w:val="37"/>
    <w:qFormat/>
    <w:uiPriority w:val="0"/>
    <w:rPr>
      <w:rFonts w:hint="eastAsia" w:ascii="宋体" w:hAnsi="宋体" w:eastAsia="宋体" w:cs="宋体"/>
      <w:b/>
      <w:bCs/>
      <w:color w:val="000000"/>
      <w:sz w:val="20"/>
      <w:szCs w:val="20"/>
      <w:u w:val="none"/>
    </w:rPr>
  </w:style>
  <w:style w:type="character" w:customStyle="1" w:styleId="145">
    <w:name w:val="font81"/>
    <w:basedOn w:val="37"/>
    <w:qFormat/>
    <w:uiPriority w:val="0"/>
    <w:rPr>
      <w:rFonts w:hint="eastAsia" w:ascii="宋体" w:hAnsi="宋体" w:eastAsia="宋体" w:cs="宋体"/>
      <w:color w:val="000000"/>
      <w:sz w:val="18"/>
      <w:szCs w:val="18"/>
      <w:u w:val="none"/>
    </w:rPr>
  </w:style>
  <w:style w:type="character" w:customStyle="1" w:styleId="146">
    <w:name w:val="font01"/>
    <w:basedOn w:val="37"/>
    <w:qFormat/>
    <w:uiPriority w:val="0"/>
    <w:rPr>
      <w:rFonts w:hint="eastAsia" w:ascii="宋体" w:hAnsi="宋体" w:eastAsia="宋体" w:cs="宋体"/>
      <w:color w:val="000000"/>
      <w:sz w:val="18"/>
      <w:szCs w:val="18"/>
      <w:u w:val="none"/>
    </w:rPr>
  </w:style>
  <w:style w:type="paragraph" w:styleId="147">
    <w:name w:val="List Paragraph"/>
    <w:basedOn w:val="1"/>
    <w:unhideWhenUsed/>
    <w:qFormat/>
    <w:uiPriority w:val="99"/>
    <w:pPr>
      <w:ind w:firstLine="420" w:firstLineChars="200"/>
    </w:p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
    <w:basedOn w:val="1"/>
    <w:qFormat/>
    <w:uiPriority w:val="1"/>
    <w:rPr>
      <w:rFonts w:ascii="微软雅黑" w:hAnsi="微软雅黑" w:eastAsia="微软雅黑" w:cs="微软雅黑"/>
      <w:lang w:val="zh-CN" w:eastAsia="zh-CN" w:bidi="zh-CN"/>
    </w:rPr>
  </w:style>
  <w:style w:type="paragraph" w:customStyle="1" w:styleId="150">
    <w:name w:val="列出段落2"/>
    <w:basedOn w:val="1"/>
    <w:qFormat/>
    <w:uiPriority w:val="99"/>
    <w:pPr>
      <w:ind w:firstLine="420" w:firstLineChars="200"/>
    </w:pPr>
    <w:rPr>
      <w:rFonts w:ascii="Times New Roman" w:hAnsi="Times New Roman"/>
      <w:szCs w:val="24"/>
    </w:rPr>
  </w:style>
  <w:style w:type="character" w:customStyle="1" w:styleId="151">
    <w:name w:val="样式 小四 加粗"/>
    <w:basedOn w:val="37"/>
    <w:qFormat/>
    <w:uiPriority w:val="0"/>
    <w:rPr>
      <w:rFonts w:eastAsia="黑体"/>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1657</Words>
  <Characters>9448</Characters>
  <Lines>78</Lines>
  <Paragraphs>22</Paragraphs>
  <TotalTime>67</TotalTime>
  <ScaleCrop>false</ScaleCrop>
  <LinksUpToDate>false</LinksUpToDate>
  <CharactersWithSpaces>11083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用户</cp:lastModifiedBy>
  <dcterms:modified xsi:type="dcterms:W3CDTF">2024-05-15T03:00:56Z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1418CA97CB5F4FD1B17FBC9844D4E1FC_13</vt:lpwstr>
  </property>
</Properties>
</file>