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720" w:lineRule="auto"/>
        <w:jc w:val="center"/>
        <w:rPr>
          <w:rFonts w:ascii="宋体" w:cs="宋体"/>
          <w:b/>
          <w:sz w:val="100"/>
          <w:szCs w:val="100"/>
        </w:rPr>
      </w:pPr>
      <w:r>
        <w:rPr>
          <w:rFonts w:ascii="宋体" w:cs="宋体" w:hint="eastAsia"/>
          <w:b/>
          <w:bCs/>
          <w:sz w:val="48"/>
          <w:szCs w:val="48"/>
        </w:rPr>
        <w:t>南通市统计局视频会议系统维保项目</w:t>
      </w:r>
    </w:p>
    <w:p>
      <w:pPr>
        <w:spacing w:line="360" w:lineRule="auto"/>
        <w:rPr>
          <w:rFonts w:ascii="宋体" w:cs="宋体"/>
          <w:b/>
          <w:sz w:val="100"/>
          <w:szCs w:val="100"/>
        </w:rPr>
      </w:pPr>
    </w:p>
    <w:p>
      <w:pPr>
        <w:spacing w:line="360" w:lineRule="auto"/>
        <w:jc w:val="center"/>
        <w:rPr>
          <w:rFonts w:ascii="宋体" w:cs="宋体"/>
          <w:b/>
          <w:sz w:val="100"/>
          <w:szCs w:val="100"/>
        </w:rPr>
      </w:pPr>
      <w:r>
        <w:rPr>
          <w:rFonts w:ascii="宋体" w:cs="宋体" w:hint="eastAsia"/>
          <w:b/>
          <w:sz w:val="100"/>
          <w:szCs w:val="100"/>
        </w:rPr>
        <w:t>磋商采购文件</w:t>
      </w:r>
    </w:p>
    <w:p>
      <w:pPr>
        <w:keepNext/>
        <w:widowControl w:val="0"/>
        <w:spacing w:line="360" w:lineRule="auto"/>
        <w:jc w:val="center"/>
        <w:rPr>
          <w:rFonts w:ascii="宋体" w:cs="宋体"/>
          <w:b/>
          <w:kern w:val="0"/>
          <w:sz w:val="36"/>
          <w:szCs w:val="36"/>
        </w:rPr>
      </w:pPr>
      <w:r>
        <w:rPr>
          <w:rFonts w:ascii="宋体" w:cs="宋体" w:hint="eastAsia"/>
          <w:b/>
          <w:kern w:val="0"/>
          <w:sz w:val="36"/>
          <w:szCs w:val="36"/>
        </w:rPr>
        <w:t xml:space="preserve">采购文件编号：ZRNT20240092  </w:t>
      </w:r>
    </w:p>
    <w:p>
      <w:pPr>
        <w:spacing w:line="360" w:lineRule="auto"/>
        <w:jc w:val="center"/>
        <w:rPr>
          <w:rFonts w:ascii="宋体" w:cs="宋体"/>
          <w:b/>
          <w:sz w:val="36"/>
        </w:rPr>
      </w:pPr>
    </w:p>
    <w:p>
      <w:pPr>
        <w:spacing w:line="360" w:lineRule="auto"/>
        <w:jc w:val="center"/>
        <w:rPr>
          <w:rFonts w:ascii="宋体" w:cs="宋体"/>
          <w:b/>
          <w:sz w:val="36"/>
        </w:rPr>
      </w:pPr>
    </w:p>
    <w:p>
      <w:pPr>
        <w:spacing w:line="360" w:lineRule="auto"/>
        <w:jc w:val="center"/>
        <w:rPr>
          <w:rFonts w:ascii="宋体" w:cs="宋体"/>
          <w:b/>
          <w:sz w:val="36"/>
        </w:rPr>
      </w:pPr>
    </w:p>
    <w:p>
      <w:pPr>
        <w:spacing w:line="360" w:lineRule="auto"/>
        <w:jc w:val="center"/>
        <w:rPr>
          <w:rFonts w:ascii="宋体" w:cs="宋体"/>
          <w:b/>
          <w:sz w:val="36"/>
        </w:rPr>
      </w:pPr>
    </w:p>
    <w:p>
      <w:pPr>
        <w:spacing w:line="360" w:lineRule="auto"/>
        <w:jc w:val="center"/>
        <w:rPr>
          <w:rFonts w:ascii="宋体" w:cs="宋体"/>
          <w:b/>
          <w:sz w:val="36"/>
        </w:rPr>
      </w:pPr>
    </w:p>
    <w:p>
      <w:pPr>
        <w:adjustRightInd w:val="0"/>
        <w:spacing w:before="120" w:after="120" w:line="360" w:lineRule="auto"/>
        <w:ind w:right="120"/>
        <w:textAlignment w:val="baseline"/>
        <w:rPr>
          <w:rFonts w:ascii="宋体" w:cs="宋体"/>
          <w:b/>
          <w:spacing w:val="20"/>
          <w:sz w:val="32"/>
          <w:szCs w:val="32"/>
        </w:rPr>
      </w:pPr>
    </w:p>
    <w:p>
      <w:pPr>
        <w:adjustRightInd w:val="0"/>
        <w:spacing w:before="120" w:after="120" w:line="360" w:lineRule="auto"/>
        <w:ind w:left="-2" w:right="120"/>
        <w:jc w:val="center"/>
        <w:textAlignment w:val="baseline"/>
        <w:rPr>
          <w:rFonts w:ascii="宋体" w:cs="宋体"/>
          <w:b/>
          <w:spacing w:val="20"/>
          <w:sz w:val="32"/>
          <w:szCs w:val="32"/>
        </w:rPr>
      </w:pPr>
    </w:p>
    <w:p>
      <w:pPr>
        <w:adjustRightInd w:val="0"/>
        <w:spacing w:before="120" w:after="120" w:line="360" w:lineRule="auto"/>
        <w:ind w:left="-2" w:right="120"/>
        <w:jc w:val="center"/>
        <w:textAlignment w:val="baseline"/>
        <w:rPr>
          <w:rFonts w:ascii="宋体" w:cs="宋体"/>
          <w:b/>
          <w:spacing w:val="20"/>
          <w:sz w:val="32"/>
          <w:szCs w:val="32"/>
        </w:rPr>
      </w:pPr>
    </w:p>
    <w:p>
      <w:pPr>
        <w:adjustRightInd w:val="0"/>
        <w:spacing w:before="120" w:after="120" w:line="360" w:lineRule="auto"/>
        <w:ind w:left="-2" w:right="120"/>
        <w:jc w:val="center"/>
        <w:textAlignment w:val="baseline"/>
        <w:rPr>
          <w:rFonts w:ascii="宋体" w:cs="宋体"/>
          <w:b/>
          <w:spacing w:val="20"/>
          <w:sz w:val="32"/>
          <w:szCs w:val="32"/>
        </w:rPr>
      </w:pPr>
    </w:p>
    <w:p>
      <w:pPr>
        <w:adjustRightInd w:val="0"/>
        <w:spacing w:before="120" w:after="120" w:line="360" w:lineRule="auto"/>
        <w:ind w:left="-2" w:right="120"/>
        <w:jc w:val="center"/>
        <w:textAlignment w:val="baseline"/>
        <w:rPr>
          <w:rFonts w:ascii="宋体" w:cs="宋体"/>
          <w:b/>
          <w:bCs/>
          <w:kern w:val="0"/>
          <w:sz w:val="32"/>
          <w:szCs w:val="32"/>
        </w:rPr>
      </w:pPr>
      <w:r>
        <w:rPr>
          <w:rFonts w:ascii="宋体" w:cs="宋体" w:hint="eastAsia"/>
          <w:b/>
          <w:bCs/>
          <w:kern w:val="0"/>
          <w:sz w:val="32"/>
          <w:szCs w:val="32"/>
        </w:rPr>
        <w:t>南通市统计局</w:t>
      </w:r>
    </w:p>
    <w:p>
      <w:pPr>
        <w:adjustRightInd w:val="0"/>
        <w:spacing w:before="120" w:after="120" w:line="360" w:lineRule="auto"/>
        <w:ind w:left="-2" w:right="120"/>
        <w:jc w:val="center"/>
        <w:textAlignment w:val="baseline"/>
        <w:rPr>
          <w:rFonts w:ascii="宋体" w:cs="宋体"/>
          <w:b/>
          <w:bCs/>
          <w:kern w:val="0"/>
          <w:sz w:val="32"/>
          <w:szCs w:val="32"/>
        </w:rPr>
      </w:pPr>
      <w:r>
        <w:rPr>
          <w:rFonts w:ascii="宋体" w:cs="宋体" w:hint="eastAsia"/>
          <w:b/>
          <w:bCs/>
          <w:kern w:val="0"/>
          <w:sz w:val="32"/>
          <w:szCs w:val="32"/>
        </w:rPr>
        <w:t>2024年05月</w:t>
      </w:r>
      <w:r>
        <w:rPr>
          <w:rFonts w:ascii="宋体" w:cs="宋体" w:hint="eastAsia"/>
          <w:b/>
          <w:bCs/>
          <w:kern w:val="0"/>
          <w:sz w:val="32"/>
          <w:szCs w:val="32"/>
          <w:lang w:val="en-US" w:eastAsia="zh-CN"/>
        </w:rPr>
        <w:t>08</w:t>
      </w:r>
      <w:r>
        <w:rPr>
          <w:rFonts w:ascii="宋体" w:cs="宋体" w:hint="eastAsia"/>
          <w:b/>
          <w:bCs/>
          <w:kern w:val="0"/>
          <w:sz w:val="32"/>
          <w:szCs w:val="32"/>
        </w:rPr>
        <w:t>日</w:t>
      </w:r>
    </w:p>
    <w:p>
      <w:pPr>
        <w:adjustRightInd w:val="0"/>
        <w:snapToGrid w:val="0"/>
        <w:spacing w:line="360" w:lineRule="auto"/>
        <w:ind w:leftChars="-75" w:left="-157"/>
        <w:jc w:val="center"/>
        <w:rPr>
          <w:rFonts w:ascii="宋体" w:cs="宋体"/>
          <w:sz w:val="44"/>
          <w:szCs w:val="44"/>
          <w:lang w:val="zh-CN"/>
        </w:rPr>
      </w:pPr>
      <w:r>
        <w:rPr>
          <w:rFonts w:ascii="宋体" w:cs="宋体" w:hint="eastAsia"/>
          <w:sz w:val="44"/>
          <w:szCs w:val="44"/>
          <w:lang w:val="zh-CN"/>
        </w:rPr>
        <w:br w:type="page"/>
        <w:t xml:space="preserve">目 </w:t>
      </w:r>
      <w:r>
        <w:rPr>
          <w:rFonts w:ascii="宋体" w:cs="宋体" w:hint="eastAsia"/>
          <w:sz w:val="44"/>
          <w:szCs w:val="44"/>
        </w:rPr>
        <w:t xml:space="preserve">  </w:t>
      </w:r>
      <w:r>
        <w:rPr>
          <w:rFonts w:ascii="宋体" w:cs="宋体" w:hint="eastAsia"/>
          <w:sz w:val="44"/>
          <w:szCs w:val="44"/>
          <w:lang w:val="zh-CN"/>
        </w:rPr>
        <w:t>录</w:t>
      </w:r>
    </w:p>
    <w:p>
      <w:pPr>
        <w:autoSpaceDE w:val="0"/>
        <w:autoSpaceDN w:val="0"/>
        <w:adjustRightInd w:val="0"/>
        <w:snapToGrid w:val="0"/>
        <w:spacing w:line="1000" w:lineRule="exact"/>
        <w:ind w:firstLine="556"/>
        <w:rPr>
          <w:rFonts w:ascii="宋体" w:cs="宋体"/>
          <w:sz w:val="32"/>
          <w:szCs w:val="32"/>
        </w:rPr>
      </w:pPr>
      <w:r>
        <w:rPr>
          <w:rFonts w:ascii="宋体" w:cs="宋体" w:hint="eastAsia"/>
          <w:sz w:val="32"/>
          <w:szCs w:val="32"/>
        </w:rPr>
        <w:t>第一部分  磋商公告</w:t>
      </w:r>
    </w:p>
    <w:p>
      <w:pPr>
        <w:autoSpaceDE w:val="0"/>
        <w:autoSpaceDN w:val="0"/>
        <w:adjustRightInd w:val="0"/>
        <w:snapToGrid w:val="0"/>
        <w:spacing w:line="1000" w:lineRule="exact"/>
        <w:ind w:firstLine="556"/>
        <w:rPr>
          <w:rFonts w:ascii="宋体" w:cs="宋体"/>
          <w:sz w:val="32"/>
          <w:szCs w:val="32"/>
        </w:rPr>
      </w:pPr>
      <w:r>
        <w:rPr>
          <w:rFonts w:ascii="宋体" w:cs="宋体" w:hint="eastAsia"/>
          <w:sz w:val="32"/>
          <w:szCs w:val="32"/>
        </w:rPr>
        <w:t>第二部分  磋商须知</w:t>
      </w:r>
    </w:p>
    <w:p>
      <w:pPr>
        <w:autoSpaceDE w:val="0"/>
        <w:autoSpaceDN w:val="0"/>
        <w:adjustRightInd w:val="0"/>
        <w:snapToGrid w:val="0"/>
        <w:spacing w:line="1000" w:lineRule="exact"/>
        <w:ind w:firstLine="537"/>
        <w:rPr>
          <w:rFonts w:ascii="宋体" w:cs="宋体"/>
          <w:sz w:val="32"/>
          <w:szCs w:val="32"/>
        </w:rPr>
      </w:pPr>
      <w:r>
        <w:rPr>
          <w:rFonts w:ascii="宋体" w:cs="宋体" w:hint="eastAsia"/>
          <w:sz w:val="32"/>
          <w:szCs w:val="32"/>
        </w:rPr>
        <w:t>第三部分  项目需求</w:t>
      </w:r>
    </w:p>
    <w:p>
      <w:pPr>
        <w:autoSpaceDE w:val="0"/>
        <w:autoSpaceDN w:val="0"/>
        <w:adjustRightInd w:val="0"/>
        <w:snapToGrid w:val="0"/>
        <w:spacing w:line="1000" w:lineRule="exact"/>
        <w:ind w:firstLine="537"/>
        <w:rPr>
          <w:rFonts w:ascii="宋体" w:cs="宋体"/>
          <w:sz w:val="32"/>
          <w:szCs w:val="32"/>
        </w:rPr>
      </w:pPr>
      <w:r>
        <w:rPr>
          <w:rFonts w:ascii="宋体" w:cs="宋体" w:hint="eastAsia"/>
          <w:sz w:val="32"/>
          <w:szCs w:val="32"/>
        </w:rPr>
        <w:t>第四部分  评审方法和评审标准</w:t>
      </w:r>
    </w:p>
    <w:p>
      <w:pPr>
        <w:autoSpaceDE w:val="0"/>
        <w:autoSpaceDN w:val="0"/>
        <w:adjustRightInd w:val="0"/>
        <w:snapToGrid w:val="0"/>
        <w:spacing w:line="1000" w:lineRule="exact"/>
        <w:ind w:firstLine="556"/>
        <w:rPr>
          <w:rFonts w:ascii="宋体" w:cs="宋体"/>
          <w:sz w:val="32"/>
          <w:szCs w:val="32"/>
        </w:rPr>
      </w:pPr>
      <w:r>
        <w:rPr>
          <w:rFonts w:ascii="宋体" w:cs="宋体" w:hint="eastAsia"/>
          <w:sz w:val="32"/>
          <w:szCs w:val="32"/>
        </w:rPr>
        <w:t>第五部分  响应文件组成</w:t>
      </w:r>
    </w:p>
    <w:p>
      <w:pPr>
        <w:tabs>
          <w:tab w:val="left" w:pos="7740"/>
        </w:tabs>
        <w:spacing w:line="360" w:lineRule="auto"/>
        <w:rPr>
          <w:rFonts w:ascii="宋体" w:cs="宋体"/>
          <w:bCs/>
          <w:sz w:val="32"/>
          <w:szCs w:val="32"/>
        </w:rPr>
      </w:pPr>
    </w:p>
    <w:p>
      <w:pPr>
        <w:tabs>
          <w:tab w:val="left" w:pos="7740"/>
        </w:tabs>
        <w:spacing w:line="360" w:lineRule="auto"/>
        <w:rPr>
          <w:rFonts w:ascii="宋体" w:cs="宋体"/>
          <w:bCs/>
          <w:sz w:val="32"/>
          <w:szCs w:val="32"/>
        </w:rPr>
      </w:pPr>
    </w:p>
    <w:p>
      <w:pPr>
        <w:autoSpaceDE w:val="0"/>
        <w:autoSpaceDN w:val="0"/>
        <w:adjustRightInd w:val="0"/>
        <w:spacing w:line="360" w:lineRule="auto"/>
        <w:jc w:val="center"/>
        <w:rPr>
          <w:rFonts w:ascii="宋体" w:cs="宋体"/>
          <w:b/>
          <w:bCs/>
          <w:sz w:val="36"/>
          <w:szCs w:val="36"/>
          <w:lang w:val="zh-CN"/>
        </w:rPr>
      </w:pPr>
    </w:p>
    <w:p>
      <w:pPr>
        <w:autoSpaceDE w:val="0"/>
        <w:autoSpaceDN w:val="0"/>
        <w:adjustRightInd w:val="0"/>
        <w:spacing w:line="360" w:lineRule="auto"/>
        <w:rPr>
          <w:rFonts w:ascii="宋体" w:cs="宋体"/>
          <w:b/>
          <w:bCs/>
          <w:sz w:val="36"/>
          <w:szCs w:val="36"/>
          <w:lang w:val="zh-CN"/>
        </w:rPr>
      </w:pPr>
    </w:p>
    <w:p>
      <w:pPr>
        <w:autoSpaceDE w:val="0"/>
        <w:autoSpaceDN w:val="0"/>
        <w:adjustRightInd w:val="0"/>
        <w:spacing w:line="360" w:lineRule="auto"/>
        <w:jc w:val="center"/>
        <w:rPr>
          <w:rFonts w:ascii="宋体" w:cs="宋体"/>
          <w:b/>
          <w:bCs/>
          <w:sz w:val="36"/>
          <w:szCs w:val="36"/>
          <w:lang w:val="zh-CN"/>
        </w:rPr>
      </w:pPr>
    </w:p>
    <w:p>
      <w:pPr>
        <w:autoSpaceDE w:val="0"/>
        <w:autoSpaceDN w:val="0"/>
        <w:adjustRightInd w:val="0"/>
        <w:spacing w:line="360" w:lineRule="auto"/>
        <w:jc w:val="center"/>
        <w:rPr>
          <w:rFonts w:ascii="宋体" w:cs="宋体"/>
          <w:b/>
          <w:bCs/>
          <w:sz w:val="36"/>
          <w:szCs w:val="36"/>
          <w:lang w:val="zh-CN"/>
        </w:rPr>
      </w:pPr>
    </w:p>
    <w:p>
      <w:pPr>
        <w:autoSpaceDE w:val="0"/>
        <w:autoSpaceDN w:val="0"/>
        <w:adjustRightInd w:val="0"/>
        <w:spacing w:line="360" w:lineRule="auto"/>
        <w:jc w:val="center"/>
        <w:rPr>
          <w:rFonts w:ascii="宋体" w:cs="宋体"/>
          <w:b/>
          <w:bCs/>
          <w:sz w:val="36"/>
          <w:szCs w:val="36"/>
          <w:lang w:val="zh-CN"/>
        </w:rPr>
      </w:pPr>
    </w:p>
    <w:p>
      <w:pPr>
        <w:autoSpaceDE w:val="0"/>
        <w:autoSpaceDN w:val="0"/>
        <w:adjustRightInd w:val="0"/>
        <w:spacing w:line="360" w:lineRule="auto"/>
        <w:jc w:val="center"/>
        <w:rPr>
          <w:rFonts w:ascii="宋体" w:cs="宋体"/>
          <w:b/>
          <w:bCs/>
          <w:sz w:val="36"/>
          <w:szCs w:val="36"/>
          <w:lang w:val="zh-CN"/>
        </w:rPr>
      </w:pPr>
    </w:p>
    <w:p>
      <w:pPr>
        <w:autoSpaceDE w:val="0"/>
        <w:autoSpaceDN w:val="0"/>
        <w:adjustRightInd w:val="0"/>
        <w:spacing w:line="360" w:lineRule="auto"/>
        <w:jc w:val="center"/>
        <w:rPr>
          <w:rFonts w:ascii="宋体" w:cs="宋体"/>
          <w:b/>
          <w:bCs/>
          <w:sz w:val="36"/>
          <w:szCs w:val="36"/>
          <w:lang w:val="zh-CN"/>
        </w:rPr>
      </w:pPr>
    </w:p>
    <w:p>
      <w:pPr>
        <w:autoSpaceDE w:val="0"/>
        <w:autoSpaceDN w:val="0"/>
        <w:adjustRightInd w:val="0"/>
        <w:spacing w:line="360" w:lineRule="auto"/>
        <w:jc w:val="center"/>
        <w:rPr>
          <w:rFonts w:ascii="宋体" w:cs="宋体"/>
          <w:b/>
          <w:bCs/>
          <w:sz w:val="36"/>
          <w:szCs w:val="36"/>
          <w:lang w:val="zh-CN"/>
        </w:rPr>
      </w:pPr>
    </w:p>
    <w:p>
      <w:pPr>
        <w:autoSpaceDE w:val="0"/>
        <w:autoSpaceDN w:val="0"/>
        <w:adjustRightInd w:val="0"/>
        <w:spacing w:line="360" w:lineRule="auto"/>
        <w:jc w:val="center"/>
        <w:rPr>
          <w:rFonts w:ascii="宋体" w:cs="宋体"/>
          <w:b/>
          <w:bCs/>
          <w:sz w:val="36"/>
          <w:szCs w:val="36"/>
          <w:lang w:val="zh-CN"/>
        </w:rPr>
      </w:pPr>
    </w:p>
    <w:p>
      <w:pPr>
        <w:autoSpaceDE w:val="0"/>
        <w:autoSpaceDN w:val="0"/>
        <w:adjustRightInd w:val="0"/>
        <w:snapToGrid w:val="0"/>
        <w:spacing w:line="360" w:lineRule="auto"/>
        <w:jc w:val="center"/>
        <w:rPr>
          <w:rFonts w:ascii="宋体" w:cs="宋体"/>
          <w:sz w:val="36"/>
          <w:szCs w:val="36"/>
          <w:lang w:val="zh-CN"/>
        </w:rPr>
      </w:pPr>
    </w:p>
    <w:p>
      <w:pPr>
        <w:autoSpaceDE w:val="0"/>
        <w:autoSpaceDN w:val="0"/>
        <w:adjustRightInd w:val="0"/>
        <w:snapToGrid w:val="0"/>
        <w:spacing w:line="360" w:lineRule="auto"/>
        <w:jc w:val="center"/>
        <w:rPr>
          <w:rFonts w:ascii="宋体" w:cs="宋体"/>
          <w:sz w:val="36"/>
          <w:szCs w:val="36"/>
          <w:lang w:val="zh-CN"/>
        </w:rPr>
      </w:pPr>
    </w:p>
    <w:p>
      <w:pPr>
        <w:autoSpaceDE w:val="0"/>
        <w:autoSpaceDN w:val="0"/>
        <w:adjustRightInd w:val="0"/>
        <w:snapToGrid w:val="0"/>
        <w:spacing w:line="360" w:lineRule="auto"/>
        <w:jc w:val="center"/>
        <w:rPr>
          <w:rFonts w:ascii="宋体" w:cs="宋体"/>
          <w:sz w:val="36"/>
          <w:szCs w:val="36"/>
          <w:lang w:val="zh-CN"/>
        </w:rPr>
        <w:sectPr>
          <w:headerReference w:type="default" r:id="rId2"/>
          <w:footerReference w:type="default" r:id="rId3"/>
          <w:pgSz w:w="11906" w:h="16838"/>
          <w:pgMar w:top="1440" w:right="1797" w:bottom="1440" w:left="1797" w:header="851" w:footer="992" w:gutter="0"/>
          <w:docGrid w:type="lines" w:linePitch="312" w:charSpace="0"/>
        </w:sectPr>
      </w:pPr>
    </w:p>
    <w:p>
      <w:pPr>
        <w:autoSpaceDE w:val="0"/>
        <w:autoSpaceDN w:val="0"/>
        <w:adjustRightInd w:val="0"/>
        <w:snapToGrid w:val="0"/>
        <w:spacing w:line="800" w:lineRule="exact"/>
        <w:jc w:val="center"/>
        <w:outlineLvl w:val="0"/>
        <w:rPr>
          <w:rFonts w:ascii="宋体" w:cs="宋体"/>
          <w:sz w:val="36"/>
          <w:szCs w:val="36"/>
          <w:lang w:val="zh-CN"/>
        </w:rPr>
      </w:pPr>
      <w:r>
        <w:rPr>
          <w:rFonts w:ascii="宋体" w:cs="宋体" w:hint="eastAsia"/>
          <w:sz w:val="36"/>
          <w:szCs w:val="36"/>
          <w:lang w:val="zh-CN"/>
        </w:rPr>
        <w:t>第一部分 磋商公告</w:t>
      </w:r>
    </w:p>
    <w:p>
      <w:pPr>
        <w:wordWrap w:val="0"/>
        <w:adjustRightInd w:val="0"/>
        <w:snapToGrid w:val="0"/>
        <w:spacing w:line="460" w:lineRule="exact"/>
        <w:ind w:firstLineChars="200" w:firstLine="560"/>
        <w:rPr>
          <w:rFonts w:ascii="宋体" w:cs="宋体"/>
          <w:sz w:val="28"/>
          <w:szCs w:val="28"/>
          <w:lang w:val="zh-CN"/>
        </w:rPr>
      </w:pPr>
      <w:r>
        <w:rPr>
          <w:rFonts w:ascii="宋体" w:cs="宋体" w:hint="eastAsia"/>
          <w:sz w:val="28"/>
          <w:szCs w:val="28"/>
        </w:rPr>
        <w:t>受[南通市统计局]的委托，江苏中润工程建设咨询有限公司就[南通市统计局视频会议系统维保项目](项目编号:ZRNT20240092)进行磋商采购，欢迎符合条件的供应商参加磋商。</w:t>
      </w:r>
    </w:p>
    <w:p>
      <w:pPr>
        <w:pBdr>
          <w:top w:val="single" w:sz="4" w:space="1" w:color="auto"/>
          <w:left w:val="single" w:sz="4" w:space="1" w:color="auto"/>
          <w:bottom w:val="single" w:sz="4" w:space="1" w:color="auto"/>
          <w:right w:val="single" w:sz="4" w:space="4" w:color="auto"/>
        </w:pBdr>
        <w:adjustRightInd w:val="0"/>
        <w:snapToGrid w:val="0"/>
        <w:spacing w:line="460" w:lineRule="exact"/>
        <w:ind w:firstLineChars="200" w:firstLine="560"/>
        <w:rPr>
          <w:rFonts w:ascii="宋体" w:cs="宋体"/>
          <w:sz w:val="28"/>
          <w:szCs w:val="28"/>
        </w:rPr>
      </w:pPr>
      <w:r>
        <w:rPr>
          <w:rFonts w:ascii="宋体" w:cs="宋体" w:hint="eastAsia"/>
          <w:sz w:val="28"/>
          <w:szCs w:val="28"/>
        </w:rPr>
        <w:t>项目概况</w:t>
      </w:r>
    </w:p>
    <w:p>
      <w:pPr>
        <w:pBdr>
          <w:top w:val="single" w:sz="4" w:space="1" w:color="auto"/>
          <w:left w:val="single" w:sz="4" w:space="1" w:color="auto"/>
          <w:bottom w:val="single" w:sz="4" w:space="1" w:color="auto"/>
          <w:right w:val="single" w:sz="4" w:space="4" w:color="auto"/>
        </w:pBdr>
        <w:adjustRightInd w:val="0"/>
        <w:snapToGrid w:val="0"/>
        <w:spacing w:line="460" w:lineRule="exact"/>
        <w:ind w:firstLineChars="200" w:firstLine="560"/>
        <w:rPr>
          <w:rFonts w:ascii="宋体" w:cs="宋体"/>
          <w:sz w:val="28"/>
          <w:szCs w:val="28"/>
        </w:rPr>
      </w:pPr>
      <w:r>
        <w:rPr>
          <w:rFonts w:ascii="宋体" w:cs="宋体" w:hint="eastAsia"/>
          <w:sz w:val="28"/>
          <w:szCs w:val="28"/>
        </w:rPr>
        <w:t>(南通市统计局）的（南通市统计局视频会议系统维保项目)的潜在供应商应在南通市统计局网站获取采购文件，并于2024年</w:t>
      </w:r>
      <w:r>
        <w:rPr>
          <w:rFonts w:ascii="宋体" w:cs="宋体" w:hint="eastAsia"/>
          <w:sz w:val="28"/>
          <w:szCs w:val="28"/>
          <w:lang w:val="en-US" w:eastAsia="zh-CN"/>
        </w:rPr>
        <w:t>05</w:t>
      </w:r>
      <w:r>
        <w:rPr>
          <w:rFonts w:ascii="宋体" w:cs="宋体" w:hint="eastAsia"/>
          <w:sz w:val="28"/>
          <w:szCs w:val="28"/>
        </w:rPr>
        <w:t>月</w:t>
      </w:r>
      <w:r>
        <w:rPr>
          <w:rFonts w:ascii="宋体" w:cs="宋体" w:hint="eastAsia"/>
          <w:sz w:val="28"/>
          <w:szCs w:val="28"/>
          <w:lang w:val="en-US" w:eastAsia="zh-CN"/>
        </w:rPr>
        <w:t>20</w:t>
      </w:r>
      <w:r>
        <w:rPr>
          <w:rFonts w:ascii="宋体" w:cs="宋体" w:hint="eastAsia"/>
          <w:sz w:val="28"/>
          <w:szCs w:val="28"/>
        </w:rPr>
        <w:t>日</w:t>
      </w:r>
      <w:r>
        <w:rPr>
          <w:rFonts w:ascii="宋体" w:cs="宋体" w:hint="eastAsia"/>
          <w:sz w:val="28"/>
          <w:szCs w:val="28"/>
          <w:lang w:val="en-US" w:eastAsia="zh-CN"/>
        </w:rPr>
        <w:t>14</w:t>
      </w:r>
      <w:r>
        <w:rPr>
          <w:rFonts w:ascii="宋体" w:cs="宋体" w:hint="eastAsia"/>
          <w:sz w:val="28"/>
          <w:szCs w:val="28"/>
        </w:rPr>
        <w:t>点</w:t>
      </w:r>
      <w:r>
        <w:rPr>
          <w:rFonts w:ascii="宋体" w:cs="宋体" w:hint="eastAsia"/>
          <w:sz w:val="28"/>
          <w:szCs w:val="28"/>
          <w:lang w:val="en-US" w:eastAsia="zh-CN"/>
        </w:rPr>
        <w:t>00</w:t>
      </w:r>
      <w:r>
        <w:rPr>
          <w:rFonts w:ascii="宋体" w:cs="宋体" w:hint="eastAsia"/>
          <w:sz w:val="28"/>
          <w:szCs w:val="28"/>
        </w:rPr>
        <w:t>分（北京时间）前提交响应文件。</w:t>
      </w:r>
    </w:p>
    <w:p>
      <w:pPr>
        <w:widowControl/>
        <w:shd w:val="clear" w:color="auto" w:fill="FFFFFF"/>
        <w:adjustRightInd w:val="0"/>
        <w:snapToGrid w:val="0"/>
        <w:spacing w:line="460" w:lineRule="exact"/>
        <w:ind w:firstLineChars="200" w:firstLine="588"/>
        <w:outlineLvl w:val="1"/>
        <w:rPr>
          <w:rFonts w:ascii="宋体" w:cs="宋体"/>
          <w:b/>
          <w:spacing w:val="7"/>
          <w:kern w:val="0"/>
          <w:sz w:val="28"/>
          <w:szCs w:val="28"/>
        </w:rPr>
      </w:pPr>
      <w:r>
        <w:rPr>
          <w:rFonts w:ascii="宋体" w:cs="宋体" w:hint="eastAsia"/>
          <w:b/>
          <w:spacing w:val="7"/>
          <w:kern w:val="0"/>
          <w:sz w:val="28"/>
          <w:szCs w:val="28"/>
        </w:rPr>
        <w:t>一、项目基本情况</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 xml:space="preserve">项目编号：ZRNT20240092  </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项目名称：南通市统计局视频会议系统维保项目</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项目类型：服务</w:t>
      </w:r>
    </w:p>
    <w:p>
      <w:pPr>
        <w:adjustRightInd w:val="0"/>
        <w:snapToGrid w:val="0"/>
        <w:spacing w:line="460" w:lineRule="exact"/>
        <w:ind w:firstLineChars="200" w:firstLine="560"/>
        <w:rPr>
          <w:rFonts w:ascii="宋体" w:cs="宋体"/>
          <w:color w:val="auto"/>
          <w:sz w:val="28"/>
          <w:szCs w:val="28"/>
        </w:rPr>
      </w:pPr>
      <w:r>
        <w:rPr>
          <w:rFonts w:ascii="宋体" w:cs="宋体" w:hint="eastAsia"/>
          <w:sz w:val="28"/>
          <w:szCs w:val="28"/>
        </w:rPr>
        <w:t>所属</w:t>
      </w:r>
      <w:r>
        <w:rPr>
          <w:rFonts w:ascii="宋体" w:cs="宋体" w:hint="eastAsia"/>
          <w:color w:val="auto"/>
          <w:sz w:val="28"/>
          <w:szCs w:val="28"/>
        </w:rPr>
        <w:t>行业：其他未列明行业</w:t>
      </w:r>
    </w:p>
    <w:p>
      <w:pPr>
        <w:adjustRightInd w:val="0"/>
        <w:snapToGrid w:val="0"/>
        <w:spacing w:line="460" w:lineRule="exact"/>
        <w:ind w:firstLineChars="200" w:firstLine="560"/>
        <w:rPr>
          <w:rFonts w:ascii="宋体" w:cs="宋体"/>
          <w:color w:val="auto"/>
          <w:sz w:val="28"/>
          <w:szCs w:val="28"/>
        </w:rPr>
      </w:pPr>
      <w:r>
        <w:rPr>
          <w:rFonts w:ascii="宋体" w:cs="宋体" w:hint="eastAsia"/>
          <w:color w:val="auto"/>
          <w:sz w:val="28"/>
          <w:szCs w:val="28"/>
        </w:rPr>
        <w:t>预算金额：10.48万元</w:t>
      </w:r>
    </w:p>
    <w:p>
      <w:pPr>
        <w:adjustRightInd w:val="0"/>
        <w:snapToGrid w:val="0"/>
        <w:spacing w:line="460" w:lineRule="exact"/>
        <w:ind w:firstLineChars="200" w:firstLine="560"/>
        <w:rPr>
          <w:rFonts w:ascii="宋体" w:cs="宋体"/>
          <w:sz w:val="28"/>
          <w:szCs w:val="28"/>
        </w:rPr>
      </w:pPr>
      <w:r>
        <w:rPr>
          <w:rFonts w:ascii="宋体" w:cs="宋体" w:hint="eastAsia"/>
          <w:color w:val="auto"/>
          <w:sz w:val="28"/>
          <w:szCs w:val="28"/>
        </w:rPr>
        <w:t>最高限价：10.48万元,投标</w:t>
      </w:r>
      <w:r>
        <w:rPr>
          <w:rFonts w:ascii="宋体" w:cs="宋体" w:hint="eastAsia"/>
          <w:sz w:val="28"/>
          <w:szCs w:val="28"/>
        </w:rPr>
        <w:t>报价超过本项目最高限价按无效标处理。</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采购需求：具体详见磋商文件，请仔细研究。</w:t>
      </w:r>
    </w:p>
    <w:p>
      <w:pPr>
        <w:adjustRightInd w:val="0"/>
        <w:snapToGrid w:val="0"/>
        <w:spacing w:line="460" w:lineRule="exact"/>
        <w:ind w:firstLineChars="200" w:firstLine="560"/>
        <w:rPr>
          <w:rFonts w:ascii="宋体" w:cs="宋体"/>
          <w:sz w:val="28"/>
          <w:szCs w:val="28"/>
          <w:highlight w:val="auto"/>
        </w:rPr>
      </w:pPr>
      <w:r>
        <w:rPr>
          <w:rFonts w:ascii="宋体" w:cs="宋体" w:hint="eastAsia"/>
          <w:sz w:val="28"/>
          <w:szCs w:val="28"/>
        </w:rPr>
        <w:t>合同履行期限</w:t>
      </w:r>
      <w:r>
        <w:rPr>
          <w:rFonts w:ascii="宋体" w:cs="宋体" w:hint="eastAsia"/>
          <w:sz w:val="28"/>
          <w:szCs w:val="28"/>
          <w:highlight w:val="auto"/>
        </w:rPr>
        <w:t>：本合同服务期从2024年6月1日至2025年5月31日止。合同服务期满后，甲方对乙方服务满意的前提下，可与乙方续签下一年合同，续签次数不超过两次。服务期共计不超过三年。</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本项目是否接受联合体投标：否。</w:t>
      </w:r>
    </w:p>
    <w:p>
      <w:pPr>
        <w:adjustRightInd w:val="0"/>
        <w:snapToGrid w:val="0"/>
        <w:spacing w:line="460" w:lineRule="exact"/>
        <w:ind w:firstLineChars="200" w:firstLine="560"/>
        <w:outlineLvl w:val="1"/>
        <w:rPr>
          <w:rFonts w:ascii="宋体" w:cs="宋体"/>
          <w:b/>
          <w:sz w:val="28"/>
          <w:szCs w:val="28"/>
        </w:rPr>
      </w:pPr>
      <w:r>
        <w:rPr>
          <w:rFonts w:ascii="宋体" w:cs="宋体" w:hint="eastAsia"/>
          <w:b/>
          <w:sz w:val="28"/>
          <w:szCs w:val="28"/>
        </w:rPr>
        <w:t>二、供应商的资格要求：</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2.提供有效的营业执照复印件加盖公章；</w:t>
      </w:r>
    </w:p>
    <w:p>
      <w:pPr>
        <w:adjustRightInd w:val="0"/>
        <w:snapToGrid w:val="0"/>
        <w:spacing w:line="460" w:lineRule="exact"/>
        <w:ind w:firstLineChars="200" w:firstLine="560"/>
        <w:rPr>
          <w:rFonts w:ascii="宋体" w:cs="宋体"/>
          <w:color w:val="4472C4"/>
          <w:sz w:val="28"/>
          <w:szCs w:val="28"/>
        </w:rPr>
      </w:pPr>
      <w:r>
        <w:rPr>
          <w:rFonts w:ascii="宋体" w:cs="宋体" w:hint="eastAsia"/>
          <w:sz w:val="28"/>
          <w:szCs w:val="28"/>
        </w:rPr>
        <w:t>3.落实政府采购政</w:t>
      </w:r>
      <w:r>
        <w:rPr>
          <w:rFonts w:ascii="宋体" w:eastAsia="宋体" w:cs="宋体" w:hint="eastAsia"/>
          <w:sz w:val="28"/>
          <w:szCs w:val="28"/>
        </w:rPr>
        <w:t>策需满足的资格要求：本项目属于专门面向中小企业采购的项目,供应商应为中小微企业、监狱企业或残疾人福利性单位，并按照采购文件要求提供《中小企业声明函》、《残疾人福利性单位声明函》或监狱和戒毒企业证明材料；</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4.未被“信用中国”网站列入失信被执行人、重大税收违法案件当事人名单、采购严重失信行为记录名单。</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5.供应商单位负责人为同一人或者存在直接控股、管理关系的不同供应商，不得同时参加同一合同项下的采购活动。</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6.本项目不接受分包。</w:t>
      </w:r>
    </w:p>
    <w:p>
      <w:pPr>
        <w:adjustRightInd w:val="0"/>
        <w:snapToGrid w:val="0"/>
        <w:spacing w:line="460" w:lineRule="exact"/>
        <w:ind w:firstLineChars="200" w:firstLine="560"/>
        <w:outlineLvl w:val="1"/>
        <w:rPr>
          <w:rFonts w:ascii="宋体" w:cs="宋体"/>
          <w:b/>
          <w:sz w:val="28"/>
          <w:szCs w:val="28"/>
        </w:rPr>
      </w:pPr>
      <w:r>
        <w:rPr>
          <w:rFonts w:ascii="宋体" w:cs="宋体" w:hint="eastAsia"/>
          <w:b/>
          <w:sz w:val="28"/>
          <w:szCs w:val="28"/>
        </w:rPr>
        <w:t>三、获取采购文件</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时间：2024年0</w:t>
      </w:r>
      <w:r>
        <w:rPr>
          <w:rFonts w:ascii="宋体" w:cs="宋体" w:hint="eastAsia"/>
          <w:sz w:val="28"/>
          <w:szCs w:val="28"/>
          <w:lang w:val="en-US" w:eastAsia="zh-CN"/>
        </w:rPr>
        <w:t>5</w:t>
      </w:r>
      <w:r>
        <w:rPr>
          <w:rFonts w:ascii="宋体" w:cs="宋体" w:hint="eastAsia"/>
          <w:sz w:val="28"/>
          <w:szCs w:val="28"/>
        </w:rPr>
        <w:t>月</w:t>
      </w:r>
      <w:r>
        <w:rPr>
          <w:rFonts w:ascii="宋体" w:cs="宋体" w:hint="eastAsia"/>
          <w:sz w:val="28"/>
          <w:szCs w:val="28"/>
          <w:lang w:val="en-US" w:eastAsia="zh-CN"/>
        </w:rPr>
        <w:t>09</w:t>
      </w:r>
      <w:r>
        <w:rPr>
          <w:rFonts w:ascii="宋体" w:cs="宋体" w:hint="eastAsia"/>
          <w:sz w:val="28"/>
          <w:szCs w:val="28"/>
        </w:rPr>
        <w:t>日至2024年0</w:t>
      </w:r>
      <w:r>
        <w:rPr>
          <w:rFonts w:ascii="宋体" w:cs="宋体" w:hint="eastAsia"/>
          <w:sz w:val="28"/>
          <w:szCs w:val="28"/>
          <w:lang w:val="en-US" w:eastAsia="zh-CN"/>
        </w:rPr>
        <w:t>5</w:t>
      </w:r>
      <w:r>
        <w:rPr>
          <w:rFonts w:ascii="宋体" w:cs="宋体" w:hint="eastAsia"/>
          <w:sz w:val="28"/>
          <w:szCs w:val="28"/>
        </w:rPr>
        <w:t>月</w:t>
      </w:r>
      <w:r>
        <w:rPr>
          <w:rFonts w:ascii="宋体" w:cs="宋体" w:hint="eastAsia"/>
          <w:sz w:val="28"/>
          <w:szCs w:val="28"/>
          <w:lang w:val="en-US" w:eastAsia="zh-CN"/>
        </w:rPr>
        <w:t>19</w:t>
      </w:r>
      <w:r>
        <w:rPr>
          <w:rFonts w:ascii="宋体" w:cs="宋体" w:hint="eastAsia"/>
          <w:sz w:val="28"/>
          <w:szCs w:val="28"/>
        </w:rPr>
        <w:t>日；</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地点：南通市统计局网站</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方式：自行下载磋商文件</w:t>
      </w:r>
    </w:p>
    <w:p>
      <w:pPr>
        <w:adjustRightInd w:val="0"/>
        <w:snapToGrid w:val="0"/>
        <w:spacing w:line="460" w:lineRule="exact"/>
        <w:ind w:firstLineChars="200" w:firstLine="560"/>
        <w:outlineLvl w:val="1"/>
        <w:rPr>
          <w:rFonts w:ascii="宋体" w:cs="宋体"/>
          <w:b/>
          <w:sz w:val="28"/>
          <w:szCs w:val="28"/>
        </w:rPr>
      </w:pPr>
      <w:r>
        <w:rPr>
          <w:rFonts w:ascii="宋体" w:cs="宋体" w:hint="eastAsia"/>
          <w:b/>
          <w:sz w:val="28"/>
          <w:szCs w:val="28"/>
        </w:rPr>
        <w:t>四、提交响应文件截止时间、磋商时间和地点</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2024年05</w:t>
      </w:r>
      <w:r>
        <w:rPr>
          <w:rFonts w:ascii="宋体" w:cs="宋体" w:hint="eastAsia"/>
          <w:sz w:val="28"/>
          <w:szCs w:val="28"/>
          <w:lang w:eastAsia="zh-CN"/>
        </w:rPr>
        <w:t>月</w:t>
      </w:r>
      <w:r>
        <w:rPr>
          <w:rFonts w:ascii="宋体" w:cs="宋体" w:hint="eastAsia"/>
          <w:sz w:val="28"/>
          <w:szCs w:val="28"/>
          <w:lang w:val="en-US" w:eastAsia="zh-CN"/>
        </w:rPr>
        <w:t>20</w:t>
      </w:r>
      <w:r>
        <w:rPr>
          <w:rFonts w:ascii="宋体" w:cs="宋体" w:hint="eastAsia"/>
          <w:sz w:val="28"/>
          <w:szCs w:val="28"/>
        </w:rPr>
        <w:t>日</w:t>
      </w:r>
      <w:r>
        <w:rPr>
          <w:rFonts w:ascii="宋体" w:cs="宋体" w:hint="eastAsia"/>
          <w:sz w:val="28"/>
          <w:szCs w:val="28"/>
          <w:lang w:val="en-US" w:eastAsia="zh-CN"/>
        </w:rPr>
        <w:t>14</w:t>
      </w:r>
      <w:r>
        <w:rPr>
          <w:rFonts w:ascii="宋体" w:cs="宋体" w:hint="eastAsia"/>
          <w:sz w:val="28"/>
          <w:szCs w:val="28"/>
        </w:rPr>
        <w:t>点</w:t>
      </w:r>
      <w:r>
        <w:rPr>
          <w:rFonts w:ascii="宋体" w:cs="宋体" w:hint="eastAsia"/>
          <w:sz w:val="28"/>
          <w:szCs w:val="28"/>
          <w:lang w:val="en-US" w:eastAsia="zh-CN"/>
        </w:rPr>
        <w:t>00</w:t>
      </w:r>
      <w:r>
        <w:rPr>
          <w:rFonts w:ascii="宋体" w:cs="宋体" w:hint="eastAsia"/>
          <w:sz w:val="28"/>
          <w:szCs w:val="28"/>
        </w:rPr>
        <w:t>分（北京时间），逾时，采购人将拒绝接受磋商响应文件。</w:t>
      </w:r>
    </w:p>
    <w:p>
      <w:pPr>
        <w:adjustRightInd w:val="0"/>
        <w:snapToGrid w:val="0"/>
        <w:spacing w:line="460" w:lineRule="exact"/>
        <w:ind w:firstLineChars="200" w:firstLine="560"/>
        <w:rPr>
          <w:rFonts w:ascii="宋体" w:cs="宋体"/>
          <w:i/>
          <w:sz w:val="28"/>
          <w:szCs w:val="28"/>
          <w:u w:val="single"/>
        </w:rPr>
      </w:pPr>
      <w:r>
        <w:rPr>
          <w:rFonts w:ascii="宋体" w:cs="宋体" w:hint="eastAsia"/>
          <w:sz w:val="28"/>
          <w:szCs w:val="28"/>
        </w:rPr>
        <w:t>地点：崇川区崇川路58号，南通产业技术研究院有限公司九号楼十楼开标室，如有变动另行通知。</w:t>
      </w:r>
    </w:p>
    <w:p>
      <w:pPr>
        <w:adjustRightInd w:val="0"/>
        <w:snapToGrid w:val="0"/>
        <w:spacing w:line="460" w:lineRule="exact"/>
        <w:ind w:firstLineChars="200" w:firstLine="560"/>
        <w:outlineLvl w:val="1"/>
        <w:rPr>
          <w:rFonts w:ascii="宋体" w:cs="宋体"/>
          <w:b/>
          <w:sz w:val="28"/>
          <w:szCs w:val="28"/>
        </w:rPr>
      </w:pPr>
      <w:r>
        <w:rPr>
          <w:rFonts w:ascii="宋体" w:cs="宋体" w:hint="eastAsia"/>
          <w:b/>
          <w:sz w:val="28"/>
          <w:szCs w:val="28"/>
        </w:rPr>
        <w:t>五、公告期限</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自本公告发布之日起5个工作日。</w:t>
      </w:r>
    </w:p>
    <w:p>
      <w:pPr>
        <w:adjustRightInd w:val="0"/>
        <w:snapToGrid w:val="0"/>
        <w:spacing w:line="460" w:lineRule="exact"/>
        <w:ind w:firstLineChars="200" w:firstLine="560"/>
        <w:outlineLvl w:val="1"/>
        <w:rPr>
          <w:rFonts w:ascii="宋体" w:cs="宋体"/>
          <w:b/>
          <w:sz w:val="28"/>
          <w:szCs w:val="28"/>
        </w:rPr>
      </w:pPr>
      <w:r>
        <w:rPr>
          <w:rFonts w:ascii="宋体" w:cs="宋体" w:hint="eastAsia"/>
          <w:b/>
          <w:sz w:val="28"/>
          <w:szCs w:val="28"/>
        </w:rPr>
        <w:t>六、其他补充事宜</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1.投标保证金：免收</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2.项目磋商活动模式：见面磋商模式，供应商在</w:t>
      </w:r>
      <w:r>
        <w:rPr>
          <w:rFonts w:ascii="宋体" w:cs="宋体" w:hint="eastAsia"/>
          <w:sz w:val="28"/>
          <w:szCs w:val="28"/>
          <w:u w:val="single"/>
        </w:rPr>
        <w:t>崇川区崇川路58号，南通产业技术研究院有限公司九号楼十楼开标室</w:t>
      </w:r>
      <w:r>
        <w:rPr>
          <w:rFonts w:ascii="宋体" w:cs="宋体" w:hint="eastAsia"/>
          <w:sz w:val="28"/>
          <w:szCs w:val="28"/>
        </w:rPr>
        <w:t>参加磋商活动。</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3.项目演示、样品：无。</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4.对项目需求部分（供应商资格要求、项目需求、商务技术评分标准）的询问、质疑请向采购人提出，由采购人负责答复；对项目磋商文件其它部分的询问请向磋商文件制作人或项目磋商经办人提出。</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5.供应商应依照规定提交各类声明函、承诺函，不再同时提供原件备查或提供有关部门出具的相关证明文件。但成交供应商应做好提交声明函、承诺函、认证、业绩相应原件的核查准备；核查后发现虚假或违背承诺的，依照相关法律法规规定处理。</w:t>
      </w:r>
    </w:p>
    <w:p>
      <w:pPr>
        <w:widowControl/>
        <w:shd w:val="clear" w:color="auto" w:fill="FFFFFF"/>
        <w:adjustRightInd w:val="0"/>
        <w:snapToGrid w:val="0"/>
        <w:spacing w:line="460" w:lineRule="exact"/>
        <w:ind w:firstLineChars="200" w:firstLine="588"/>
        <w:outlineLvl w:val="1"/>
        <w:rPr>
          <w:rFonts w:ascii="宋体" w:cs="宋体"/>
          <w:b/>
          <w:spacing w:val="7"/>
          <w:kern w:val="0"/>
          <w:sz w:val="28"/>
          <w:szCs w:val="28"/>
        </w:rPr>
      </w:pPr>
      <w:r>
        <w:rPr>
          <w:rFonts w:ascii="宋体" w:cs="宋体" w:hint="eastAsia"/>
          <w:b/>
          <w:spacing w:val="7"/>
          <w:kern w:val="0"/>
          <w:sz w:val="28"/>
          <w:szCs w:val="28"/>
        </w:rPr>
        <w:t>七、凡对本次采购提出询问，请按以下方式联系。</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1.采购人信息</w:t>
      </w:r>
    </w:p>
    <w:p>
      <w:pPr>
        <w:adjustRightInd w:val="0"/>
        <w:snapToGrid w:val="0"/>
        <w:spacing w:line="460" w:lineRule="exact"/>
        <w:ind w:firstLineChars="200" w:firstLine="560"/>
        <w:rPr>
          <w:rFonts w:ascii="宋体" w:cs="宋体"/>
          <w:color w:val="auto"/>
          <w:sz w:val="28"/>
          <w:szCs w:val="28"/>
        </w:rPr>
      </w:pPr>
      <w:r>
        <w:rPr>
          <w:rFonts w:ascii="宋体" w:cs="宋体" w:hint="eastAsia"/>
          <w:color w:val="auto"/>
          <w:sz w:val="28"/>
          <w:szCs w:val="28"/>
        </w:rPr>
        <w:t>名称：南通市统计局</w:t>
      </w:r>
    </w:p>
    <w:p>
      <w:pPr>
        <w:adjustRightInd w:val="0"/>
        <w:snapToGrid w:val="0"/>
        <w:spacing w:line="460" w:lineRule="exact"/>
        <w:ind w:firstLineChars="200" w:firstLine="560"/>
        <w:rPr>
          <w:rFonts w:ascii="宋体" w:cs="宋体"/>
          <w:color w:val="auto"/>
          <w:sz w:val="28"/>
          <w:szCs w:val="28"/>
        </w:rPr>
      </w:pPr>
      <w:r>
        <w:rPr>
          <w:rFonts w:ascii="宋体" w:cs="宋体" w:hint="eastAsia"/>
          <w:color w:val="auto"/>
          <w:sz w:val="28"/>
          <w:szCs w:val="28"/>
        </w:rPr>
        <w:t>联系人：李工</w:t>
      </w:r>
    </w:p>
    <w:p>
      <w:pPr>
        <w:adjustRightInd w:val="0"/>
        <w:snapToGrid w:val="0"/>
        <w:spacing w:line="460" w:lineRule="exact"/>
        <w:ind w:firstLineChars="200" w:firstLine="560"/>
        <w:rPr>
          <w:rFonts w:ascii="宋体" w:cs="宋体"/>
          <w:sz w:val="28"/>
          <w:szCs w:val="28"/>
        </w:rPr>
      </w:pPr>
      <w:r>
        <w:rPr>
          <w:rFonts w:ascii="宋体" w:cs="宋体" w:hint="eastAsia"/>
          <w:color w:val="auto"/>
          <w:sz w:val="28"/>
          <w:szCs w:val="28"/>
        </w:rPr>
        <w:t>联系方式：0513-85</w:t>
      </w:r>
      <w:r>
        <w:rPr>
          <w:rFonts w:ascii="宋体" w:cs="宋体" w:hint="eastAsia"/>
          <w:sz w:val="28"/>
          <w:szCs w:val="28"/>
        </w:rPr>
        <w:t>098869</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2.采购代理机构信息</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名称：江苏中润工程建设咨询有限公司</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地址：南通市崇川路58号</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 xml:space="preserve">联系方式：王  工 0513-55887688 13906272111  </w:t>
      </w:r>
    </w:p>
    <w:p>
      <w:pPr>
        <w:adjustRightInd w:val="0"/>
        <w:snapToGrid w:val="0"/>
        <w:spacing w:line="460" w:lineRule="exact"/>
        <w:ind w:firstLineChars="200" w:firstLine="560"/>
        <w:rPr>
          <w:rFonts w:ascii="宋体" w:cs="宋体"/>
          <w:b/>
          <w:bCs/>
          <w:sz w:val="28"/>
          <w:szCs w:val="28"/>
        </w:rPr>
      </w:pPr>
    </w:p>
    <w:p>
      <w:pPr>
        <w:adjustRightInd w:val="0"/>
        <w:snapToGrid w:val="0"/>
        <w:spacing w:line="360" w:lineRule="auto"/>
        <w:jc w:val="center"/>
        <w:rPr>
          <w:rFonts w:ascii="宋体" w:cs="宋体"/>
          <w:sz w:val="36"/>
          <w:szCs w:val="36"/>
        </w:rPr>
      </w:pPr>
    </w:p>
    <w:p>
      <w:pPr>
        <w:adjustRightInd w:val="0"/>
        <w:snapToGrid w:val="0"/>
        <w:spacing w:line="360" w:lineRule="auto"/>
        <w:jc w:val="center"/>
        <w:rPr>
          <w:rFonts w:ascii="宋体" w:cs="宋体"/>
          <w:sz w:val="36"/>
          <w:szCs w:val="36"/>
          <w:lang w:val="zh-CN"/>
        </w:rPr>
      </w:pPr>
    </w:p>
    <w:p>
      <w:pPr>
        <w:pStyle w:val="37"/>
        <w:spacing w:line="360" w:lineRule="auto"/>
        <w:rPr>
          <w:rFonts w:ascii="宋体" w:cs="宋体"/>
          <w:lang w:val="zh-CN"/>
        </w:rPr>
      </w:pPr>
    </w:p>
    <w:p>
      <w:pPr>
        <w:adjustRightInd w:val="0"/>
        <w:snapToGrid w:val="0"/>
        <w:spacing w:line="360" w:lineRule="auto"/>
        <w:jc w:val="center"/>
        <w:outlineLvl w:val="0"/>
        <w:rPr>
          <w:rFonts w:ascii="宋体" w:cs="宋体"/>
          <w:bCs/>
          <w:sz w:val="36"/>
          <w:szCs w:val="36"/>
        </w:rPr>
      </w:pPr>
      <w:r>
        <w:rPr>
          <w:rFonts w:ascii="宋体" w:cs="宋体" w:hint="eastAsia"/>
          <w:bCs/>
          <w:sz w:val="36"/>
          <w:szCs w:val="36"/>
        </w:rPr>
        <w:br w:type="page"/>
        <w:t>第二部分 磋商须知</w:t>
      </w:r>
    </w:p>
    <w:p>
      <w:pPr>
        <w:keepNext/>
        <w:keepLines/>
        <w:widowControl w:val="0"/>
        <w:adjustRightInd w:val="0"/>
        <w:snapToGrid w:val="0"/>
        <w:spacing w:line="460" w:lineRule="exact"/>
        <w:ind w:firstLineChars="200" w:firstLine="560"/>
        <w:outlineLvl w:val="1"/>
        <w:rPr>
          <w:rFonts w:ascii="宋体" w:cs="宋体"/>
          <w:b/>
          <w:bCs/>
          <w:kern w:val="0"/>
          <w:sz w:val="28"/>
          <w:szCs w:val="28"/>
        </w:rPr>
      </w:pPr>
      <w:bookmarkStart w:id="0" w:name="_Toc513029203"/>
      <w:bookmarkStart w:id="1" w:name="_Toc120614214"/>
      <w:bookmarkStart w:id="2" w:name="_Toc20823275"/>
      <w:bookmarkStart w:id="3" w:name="_Toc16938519"/>
      <w:r>
        <w:rPr>
          <w:rFonts w:ascii="宋体" w:cs="宋体" w:hint="eastAsia"/>
          <w:b/>
          <w:bCs/>
          <w:kern w:val="0"/>
          <w:sz w:val="28"/>
          <w:szCs w:val="28"/>
        </w:rPr>
        <w:t>一、总则</w:t>
      </w:r>
      <w:bookmarkEnd w:id="0"/>
      <w:bookmarkEnd w:id="1"/>
      <w:bookmarkEnd w:id="2"/>
      <w:bookmarkEnd w:id="3"/>
    </w:p>
    <w:p>
      <w:pPr>
        <w:keepNext/>
        <w:widowControl w:val="0"/>
        <w:adjustRightInd w:val="0"/>
        <w:snapToGrid w:val="0"/>
        <w:spacing w:line="460" w:lineRule="exact"/>
        <w:ind w:firstLineChars="200" w:firstLine="560"/>
        <w:rPr>
          <w:rFonts w:ascii="宋体" w:cs="宋体"/>
          <w:b/>
          <w:bCs/>
          <w:kern w:val="0"/>
          <w:sz w:val="28"/>
          <w:szCs w:val="28"/>
        </w:rPr>
      </w:pPr>
      <w:bookmarkStart w:id="4" w:name="_Hlt16619475"/>
      <w:bookmarkStart w:id="5" w:name="_Toc458694821"/>
      <w:bookmarkStart w:id="6" w:name="_Toc16938520"/>
      <w:bookmarkStart w:id="7" w:name="_Toc513029204"/>
      <w:bookmarkStart w:id="8" w:name="_Toc20823276"/>
      <w:bookmarkEnd w:id="4"/>
      <w:r>
        <w:rPr>
          <w:rFonts w:ascii="宋体" w:cs="宋体" w:hint="eastAsia"/>
          <w:kern w:val="0"/>
          <w:sz w:val="28"/>
          <w:szCs w:val="28"/>
        </w:rPr>
        <w:t>1</w:t>
      </w:r>
      <w:bookmarkEnd w:id="5"/>
      <w:r>
        <w:rPr>
          <w:rFonts w:ascii="宋体" w:cs="宋体" w:hint="eastAsia"/>
          <w:kern w:val="0"/>
          <w:sz w:val="28"/>
          <w:szCs w:val="28"/>
        </w:rPr>
        <w:t>.采购方式</w:t>
      </w:r>
      <w:bookmarkEnd w:id="6"/>
      <w:bookmarkEnd w:id="7"/>
      <w:bookmarkEnd w:id="8"/>
    </w:p>
    <w:p>
      <w:pPr>
        <w:adjustRightInd w:val="0"/>
        <w:snapToGrid w:val="0"/>
        <w:spacing w:line="460" w:lineRule="exact"/>
        <w:ind w:firstLineChars="200" w:firstLine="560"/>
        <w:rPr>
          <w:rFonts w:ascii="宋体" w:cs="宋体"/>
          <w:sz w:val="28"/>
          <w:szCs w:val="28"/>
        </w:rPr>
      </w:pPr>
      <w:r>
        <w:rPr>
          <w:rFonts w:ascii="宋体" w:cs="宋体" w:hint="eastAsia"/>
          <w:sz w:val="28"/>
          <w:szCs w:val="28"/>
        </w:rPr>
        <w:t>1.1 本次采取磋商方式，本磋商文件仅适用于磋商公告中所述项目。</w:t>
      </w:r>
    </w:p>
    <w:p>
      <w:pPr>
        <w:keepNext/>
        <w:widowControl w:val="0"/>
        <w:adjustRightInd w:val="0"/>
        <w:snapToGrid w:val="0"/>
        <w:spacing w:line="460" w:lineRule="exact"/>
        <w:ind w:firstLineChars="200" w:firstLine="560"/>
        <w:rPr>
          <w:rFonts w:ascii="宋体" w:cs="宋体"/>
          <w:b/>
          <w:bCs/>
          <w:kern w:val="0"/>
          <w:sz w:val="28"/>
          <w:szCs w:val="28"/>
        </w:rPr>
      </w:pPr>
      <w:bookmarkStart w:id="9" w:name="_Toc20823277"/>
      <w:bookmarkStart w:id="10" w:name="_Toc16938521"/>
      <w:bookmarkStart w:id="11" w:name="_Toc513029205"/>
      <w:r>
        <w:rPr>
          <w:rFonts w:ascii="宋体" w:cs="宋体" w:hint="eastAsia"/>
          <w:kern w:val="0"/>
          <w:sz w:val="28"/>
          <w:szCs w:val="28"/>
        </w:rPr>
        <w:t>2.合格的</w:t>
      </w:r>
      <w:bookmarkEnd w:id="9"/>
      <w:bookmarkEnd w:id="10"/>
      <w:bookmarkEnd w:id="11"/>
      <w:r>
        <w:rPr>
          <w:rFonts w:ascii="宋体" w:cs="宋体" w:hint="eastAsia"/>
          <w:kern w:val="0"/>
          <w:sz w:val="28"/>
          <w:szCs w:val="28"/>
        </w:rPr>
        <w:t>供应商</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2.1满足磋商公告中供应商的资格要求的规定。</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2.2 满足本文件实质性条款的规定。</w:t>
      </w:r>
    </w:p>
    <w:p>
      <w:pPr>
        <w:keepNext/>
        <w:widowControl w:val="0"/>
        <w:adjustRightInd w:val="0"/>
        <w:snapToGrid w:val="0"/>
        <w:spacing w:line="460" w:lineRule="exact"/>
        <w:ind w:firstLineChars="200" w:firstLine="560"/>
        <w:rPr>
          <w:rFonts w:ascii="宋体" w:cs="宋体"/>
          <w:b/>
          <w:bCs/>
          <w:kern w:val="0"/>
          <w:sz w:val="28"/>
          <w:szCs w:val="28"/>
        </w:rPr>
      </w:pPr>
      <w:bookmarkStart w:id="12" w:name="_Toc16938522"/>
      <w:bookmarkStart w:id="13" w:name="_Toc513029206"/>
      <w:bookmarkStart w:id="14" w:name="_Toc20823278"/>
      <w:r>
        <w:rPr>
          <w:rFonts w:ascii="宋体" w:cs="宋体" w:hint="eastAsia"/>
          <w:kern w:val="0"/>
          <w:sz w:val="28"/>
          <w:szCs w:val="28"/>
        </w:rPr>
        <w:t>3.适用法律</w:t>
      </w:r>
      <w:bookmarkEnd w:id="12"/>
      <w:bookmarkEnd w:id="13"/>
      <w:bookmarkEnd w:id="14"/>
    </w:p>
    <w:p>
      <w:pPr>
        <w:adjustRightInd w:val="0"/>
        <w:snapToGrid w:val="0"/>
        <w:spacing w:line="460" w:lineRule="exact"/>
        <w:ind w:firstLineChars="200" w:firstLine="560"/>
        <w:rPr>
          <w:rFonts w:ascii="宋体" w:cs="宋体"/>
          <w:sz w:val="28"/>
          <w:szCs w:val="28"/>
        </w:rPr>
      </w:pPr>
      <w:r>
        <w:rPr>
          <w:rFonts w:ascii="宋体" w:cs="宋体" w:hint="eastAsia"/>
          <w:sz w:val="28"/>
          <w:szCs w:val="28"/>
        </w:rPr>
        <w:t>3.1 本次采购及由此产生的合同受中华人民共和国有关的法律法规制约和保护。</w:t>
      </w:r>
    </w:p>
    <w:p>
      <w:pPr>
        <w:keepNext/>
        <w:widowControl w:val="0"/>
        <w:adjustRightInd w:val="0"/>
        <w:snapToGrid w:val="0"/>
        <w:spacing w:line="460" w:lineRule="exact"/>
        <w:ind w:firstLineChars="200" w:firstLine="560"/>
        <w:rPr>
          <w:rFonts w:ascii="宋体" w:cs="宋体"/>
          <w:kern w:val="0"/>
          <w:sz w:val="28"/>
          <w:szCs w:val="28"/>
        </w:rPr>
      </w:pPr>
      <w:bookmarkStart w:id="15" w:name="_Toc16938523"/>
      <w:bookmarkStart w:id="16" w:name="_Toc20823279"/>
      <w:bookmarkStart w:id="17" w:name="_Toc513029207"/>
      <w:bookmarkStart w:id="18" w:name="_Toc462564067"/>
      <w:r>
        <w:rPr>
          <w:rFonts w:ascii="宋体" w:cs="宋体" w:hint="eastAsia"/>
          <w:kern w:val="0"/>
          <w:sz w:val="28"/>
          <w:szCs w:val="28"/>
        </w:rPr>
        <w:t>4.磋商费用</w:t>
      </w:r>
      <w:bookmarkEnd w:id="15"/>
      <w:bookmarkEnd w:id="16"/>
      <w:bookmarkEnd w:id="17"/>
      <w:bookmarkEnd w:id="18"/>
    </w:p>
    <w:p>
      <w:pPr>
        <w:adjustRightInd w:val="0"/>
        <w:snapToGrid w:val="0"/>
        <w:spacing w:line="460" w:lineRule="exact"/>
        <w:ind w:firstLineChars="200" w:firstLine="560"/>
        <w:rPr>
          <w:rFonts w:ascii="宋体" w:cs="宋体"/>
          <w:sz w:val="28"/>
          <w:szCs w:val="28"/>
        </w:rPr>
      </w:pPr>
      <w:r>
        <w:rPr>
          <w:rFonts w:ascii="宋体" w:cs="宋体" w:hint="eastAsia"/>
          <w:sz w:val="28"/>
          <w:szCs w:val="28"/>
        </w:rPr>
        <w:t>4.1 供应商应自行承担所有与参加磋商有关的费用，无论磋商过程中的做法和结果如何，江苏中润工程建设咨询有限公司（以下简称采购代理机构）在任何情况下均无义务和责任承担这些费用。</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4.2本次磋商采购代理机构收取标书工本费300元，无论是否中标，该费用不予退还。本项目招标代理费按照发改价格[2011]534号文标准收取（不足1500元按1500计取），评委费按实收取，由成交供应商承担。供应商在报价时应综合考虑（不单列）。</w:t>
      </w:r>
    </w:p>
    <w:p>
      <w:pPr>
        <w:keepNext/>
        <w:widowControl w:val="0"/>
        <w:adjustRightInd w:val="0"/>
        <w:snapToGrid w:val="0"/>
        <w:spacing w:line="460" w:lineRule="exact"/>
        <w:ind w:firstLineChars="200" w:firstLine="560"/>
        <w:rPr>
          <w:rFonts w:ascii="宋体" w:cs="宋体"/>
          <w:sz w:val="28"/>
          <w:szCs w:val="28"/>
        </w:rPr>
      </w:pPr>
      <w:r>
        <w:rPr>
          <w:rFonts w:ascii="宋体" w:cs="宋体" w:hint="eastAsia"/>
          <w:sz w:val="28"/>
          <w:szCs w:val="28"/>
          <w:lang w:val="zh-CN"/>
        </w:rPr>
        <w:t>代理费、</w:t>
      </w:r>
      <w:r>
        <w:rPr>
          <w:rFonts w:ascii="宋体" w:cs="宋体" w:hint="eastAsia"/>
          <w:sz w:val="28"/>
          <w:szCs w:val="28"/>
        </w:rPr>
        <w:t>评委费</w:t>
      </w:r>
      <w:r>
        <w:rPr>
          <w:rFonts w:ascii="宋体" w:cs="宋体" w:hint="eastAsia"/>
          <w:sz w:val="28"/>
          <w:szCs w:val="28"/>
          <w:lang w:val="zh-CN"/>
        </w:rPr>
        <w:t>定标后由中标候选人支付给代理机构。因供应商原因导致中标结果变更或取消中标资格等，代理费、</w:t>
      </w:r>
      <w:r>
        <w:rPr>
          <w:rFonts w:ascii="宋体" w:cs="宋体" w:hint="eastAsia"/>
          <w:sz w:val="28"/>
          <w:szCs w:val="28"/>
        </w:rPr>
        <w:t>评委费</w:t>
      </w:r>
      <w:r>
        <w:rPr>
          <w:rFonts w:ascii="宋体" w:cs="宋体" w:hint="eastAsia"/>
          <w:sz w:val="28"/>
          <w:szCs w:val="28"/>
          <w:lang w:val="zh-CN"/>
        </w:rPr>
        <w:t>不予退还。</w:t>
      </w:r>
    </w:p>
    <w:p>
      <w:pPr>
        <w:keepNext/>
        <w:widowControl w:val="0"/>
        <w:adjustRightInd w:val="0"/>
        <w:snapToGrid w:val="0"/>
        <w:spacing w:line="460" w:lineRule="exact"/>
        <w:ind w:firstLineChars="200" w:firstLine="560"/>
        <w:rPr>
          <w:rFonts w:ascii="宋体" w:cs="宋体"/>
          <w:b/>
          <w:bCs/>
          <w:kern w:val="0"/>
          <w:sz w:val="28"/>
          <w:szCs w:val="28"/>
        </w:rPr>
      </w:pPr>
      <w:r>
        <w:rPr>
          <w:rFonts w:ascii="宋体" w:cs="宋体" w:hint="eastAsia"/>
          <w:kern w:val="0"/>
          <w:sz w:val="28"/>
          <w:szCs w:val="28"/>
        </w:rPr>
        <w:t>5.磋商文件的约束力</w:t>
      </w:r>
    </w:p>
    <w:p>
      <w:pPr>
        <w:adjustRightInd w:val="0"/>
        <w:snapToGrid w:val="0"/>
        <w:spacing w:line="460" w:lineRule="exact"/>
        <w:ind w:firstLineChars="200" w:firstLine="560"/>
        <w:rPr>
          <w:rFonts w:ascii="宋体" w:cs="宋体"/>
          <w:sz w:val="28"/>
          <w:szCs w:val="28"/>
        </w:rPr>
      </w:pPr>
      <w:r>
        <w:rPr>
          <w:rFonts w:ascii="宋体" w:cs="宋体" w:hint="eastAsia"/>
          <w:bCs/>
          <w:sz w:val="28"/>
          <w:szCs w:val="28"/>
        </w:rPr>
        <w:t>5.1</w:t>
      </w:r>
      <w:r>
        <w:rPr>
          <w:rFonts w:ascii="宋体" w:cs="宋体" w:hint="eastAsia"/>
          <w:sz w:val="28"/>
          <w:szCs w:val="28"/>
        </w:rPr>
        <w:t xml:space="preserve"> 供应商一旦参加本项目采购活动，即被认为接受了本磋商文件的规定和约束。</w:t>
      </w:r>
    </w:p>
    <w:p>
      <w:pPr>
        <w:keepNext/>
        <w:widowControl w:val="0"/>
        <w:adjustRightInd w:val="0"/>
        <w:snapToGrid w:val="0"/>
        <w:spacing w:line="460" w:lineRule="exact"/>
        <w:ind w:firstLineChars="200" w:firstLine="560"/>
        <w:rPr>
          <w:rFonts w:ascii="宋体" w:cs="宋体"/>
          <w:kern w:val="0"/>
          <w:sz w:val="28"/>
          <w:szCs w:val="28"/>
        </w:rPr>
      </w:pPr>
      <w:r>
        <w:rPr>
          <w:rFonts w:ascii="宋体" w:cs="宋体" w:hint="eastAsia"/>
          <w:kern w:val="0"/>
          <w:sz w:val="28"/>
          <w:szCs w:val="28"/>
        </w:rPr>
        <w:t>6.磋商文件的解释</w:t>
      </w:r>
    </w:p>
    <w:p>
      <w:pPr>
        <w:adjustRightInd w:val="0"/>
        <w:snapToGrid w:val="0"/>
        <w:spacing w:line="460" w:lineRule="exact"/>
        <w:ind w:firstLineChars="200" w:firstLine="560"/>
        <w:rPr>
          <w:rFonts w:ascii="宋体" w:cs="宋体"/>
          <w:sz w:val="28"/>
          <w:szCs w:val="28"/>
        </w:rPr>
      </w:pPr>
      <w:r>
        <w:rPr>
          <w:rFonts w:ascii="宋体" w:cs="宋体" w:hint="eastAsia"/>
          <w:bCs/>
          <w:sz w:val="28"/>
          <w:szCs w:val="28"/>
        </w:rPr>
        <w:t>6.1</w:t>
      </w:r>
      <w:r>
        <w:rPr>
          <w:rFonts w:ascii="宋体" w:cs="宋体" w:hint="eastAsia"/>
          <w:sz w:val="28"/>
          <w:szCs w:val="28"/>
        </w:rPr>
        <w:t>磋商文件需求部分（供应商资格要求、项目需求、商务技术评分标准）由采购人解释，其它部分由采购代理机构解释。</w:t>
      </w:r>
    </w:p>
    <w:p>
      <w:pPr>
        <w:keepNext/>
        <w:keepLines/>
        <w:widowControl w:val="0"/>
        <w:adjustRightInd w:val="0"/>
        <w:snapToGrid w:val="0"/>
        <w:spacing w:line="460" w:lineRule="exact"/>
        <w:ind w:firstLineChars="200" w:firstLine="560"/>
        <w:outlineLvl w:val="1"/>
        <w:rPr>
          <w:rFonts w:ascii="宋体" w:cs="宋体"/>
          <w:b/>
          <w:bCs/>
          <w:kern w:val="0"/>
          <w:sz w:val="28"/>
          <w:szCs w:val="28"/>
        </w:rPr>
      </w:pPr>
      <w:bookmarkStart w:id="19" w:name="_Toc16938525"/>
      <w:bookmarkStart w:id="20" w:name="_Toc120614215"/>
      <w:bookmarkStart w:id="21" w:name="_Toc20823281"/>
      <w:bookmarkStart w:id="22" w:name="_Toc513029209"/>
      <w:r>
        <w:rPr>
          <w:rFonts w:ascii="宋体" w:cs="宋体" w:hint="eastAsia"/>
          <w:b/>
          <w:bCs/>
          <w:kern w:val="0"/>
          <w:sz w:val="28"/>
          <w:szCs w:val="28"/>
        </w:rPr>
        <w:t>二、磋商文件</w:t>
      </w:r>
      <w:bookmarkEnd w:id="19"/>
      <w:bookmarkEnd w:id="20"/>
      <w:bookmarkEnd w:id="21"/>
      <w:bookmarkEnd w:id="22"/>
    </w:p>
    <w:p>
      <w:pPr>
        <w:keepNext/>
        <w:widowControl w:val="0"/>
        <w:adjustRightInd w:val="0"/>
        <w:snapToGrid w:val="0"/>
        <w:spacing w:line="460" w:lineRule="exact"/>
        <w:ind w:firstLineChars="200" w:firstLine="560"/>
        <w:rPr>
          <w:rFonts w:ascii="宋体" w:cs="宋体"/>
          <w:b/>
          <w:bCs/>
          <w:kern w:val="0"/>
          <w:sz w:val="28"/>
          <w:szCs w:val="28"/>
        </w:rPr>
      </w:pPr>
      <w:bookmarkStart w:id="23" w:name="_Toc513029210"/>
      <w:bookmarkStart w:id="24" w:name="_Toc16938526"/>
      <w:bookmarkStart w:id="25" w:name="_Toc20823282"/>
      <w:r>
        <w:rPr>
          <w:rFonts w:ascii="宋体" w:cs="宋体" w:hint="eastAsia"/>
          <w:kern w:val="0"/>
          <w:sz w:val="28"/>
          <w:szCs w:val="28"/>
        </w:rPr>
        <w:t>1.磋商文件构成</w:t>
      </w:r>
      <w:bookmarkEnd w:id="23"/>
      <w:bookmarkEnd w:id="24"/>
      <w:bookmarkEnd w:id="25"/>
    </w:p>
    <w:p>
      <w:pPr>
        <w:adjustRightInd w:val="0"/>
        <w:snapToGrid w:val="0"/>
        <w:spacing w:line="460" w:lineRule="exact"/>
        <w:ind w:firstLineChars="200" w:firstLine="560"/>
        <w:rPr>
          <w:rFonts w:ascii="宋体" w:cs="宋体"/>
          <w:sz w:val="28"/>
          <w:szCs w:val="28"/>
        </w:rPr>
      </w:pPr>
      <w:r>
        <w:rPr>
          <w:rFonts w:ascii="宋体" w:cs="宋体" w:hint="eastAsia"/>
          <w:bCs/>
          <w:sz w:val="28"/>
          <w:szCs w:val="28"/>
        </w:rPr>
        <w:t>1.1</w:t>
      </w:r>
      <w:r>
        <w:rPr>
          <w:rFonts w:ascii="宋体" w:cs="宋体" w:hint="eastAsia"/>
          <w:sz w:val="28"/>
          <w:szCs w:val="28"/>
        </w:rPr>
        <w:t xml:space="preserve"> 磋商文件由以下部分组成：</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（1）磋商公告</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（2）磋商须知</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（3）项目需求</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（4）评审方法和评审标准</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（5）响应文件组成</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（6）附件</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请仔细检查磋商文件是否齐全，如有缺漏请立即与采购代理机构联系解决。</w:t>
      </w:r>
    </w:p>
    <w:p>
      <w:pPr>
        <w:adjustRightInd w:val="0"/>
        <w:snapToGrid w:val="0"/>
        <w:spacing w:line="460" w:lineRule="exact"/>
        <w:ind w:firstLineChars="200" w:firstLine="560"/>
        <w:rPr>
          <w:rFonts w:ascii="宋体" w:cs="宋体"/>
          <w:sz w:val="28"/>
          <w:szCs w:val="28"/>
        </w:rPr>
      </w:pPr>
      <w:r>
        <w:rPr>
          <w:rFonts w:ascii="宋体" w:cs="宋体" w:hint="eastAsia"/>
          <w:bCs/>
          <w:sz w:val="28"/>
          <w:szCs w:val="28"/>
        </w:rPr>
        <w:t>1.2</w:t>
      </w:r>
      <w:r>
        <w:rPr>
          <w:rFonts w:ascii="宋体" w:cs="宋体" w:hint="eastAsia"/>
          <w:sz w:val="28"/>
          <w:szCs w:val="28"/>
        </w:rPr>
        <w:t xml:space="preserve">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pPr>
        <w:keepNext/>
        <w:widowControl w:val="0"/>
        <w:adjustRightInd w:val="0"/>
        <w:snapToGrid w:val="0"/>
        <w:spacing w:line="460" w:lineRule="exact"/>
        <w:ind w:firstLineChars="200" w:firstLine="560"/>
        <w:rPr>
          <w:rFonts w:ascii="宋体" w:cs="宋体"/>
          <w:b/>
          <w:bCs/>
          <w:kern w:val="0"/>
          <w:sz w:val="28"/>
          <w:szCs w:val="28"/>
        </w:rPr>
      </w:pPr>
      <w:bookmarkStart w:id="26" w:name="_Toc20823283"/>
      <w:bookmarkStart w:id="27" w:name="_Toc16938527"/>
      <w:bookmarkStart w:id="28" w:name="_Toc513029211"/>
      <w:bookmarkStart w:id="29" w:name="_Toc462564070"/>
      <w:r>
        <w:rPr>
          <w:rFonts w:ascii="宋体" w:cs="宋体" w:hint="eastAsia"/>
          <w:kern w:val="0"/>
          <w:sz w:val="28"/>
          <w:szCs w:val="28"/>
        </w:rPr>
        <w:t>2.磋商文件的澄清</w:t>
      </w:r>
      <w:bookmarkEnd w:id="26"/>
      <w:bookmarkEnd w:id="27"/>
      <w:bookmarkEnd w:id="28"/>
      <w:bookmarkEnd w:id="29"/>
    </w:p>
    <w:p>
      <w:pPr>
        <w:adjustRightInd w:val="0"/>
        <w:snapToGrid w:val="0"/>
        <w:spacing w:line="460" w:lineRule="exact"/>
        <w:ind w:firstLineChars="200" w:firstLine="560"/>
        <w:rPr>
          <w:rFonts w:ascii="宋体" w:cs="宋体"/>
          <w:sz w:val="28"/>
          <w:szCs w:val="28"/>
        </w:rPr>
      </w:pPr>
      <w:r>
        <w:rPr>
          <w:rFonts w:ascii="宋体" w:cs="宋体" w:hint="eastAsia"/>
          <w:bCs/>
          <w:sz w:val="28"/>
          <w:szCs w:val="28"/>
        </w:rPr>
        <w:t>2.1</w:t>
      </w:r>
      <w:r>
        <w:rPr>
          <w:rFonts w:ascii="宋体" w:cs="宋体" w:hint="eastAsia"/>
          <w:sz w:val="28"/>
          <w:szCs w:val="28"/>
        </w:rPr>
        <w:t xml:space="preserve"> 任何要求对磋商文件进行澄清的供应商，应在提交首次响应文件截止时间五日前按磋商公告中的通讯地址，以书面形式通知采购人。采购人有权对发出的磋商文件进行必要的澄清或修改。</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2.2采购人视情组织答疑会</w:t>
      </w:r>
    </w:p>
    <w:p>
      <w:pPr>
        <w:keepNext/>
        <w:widowControl w:val="0"/>
        <w:adjustRightInd w:val="0"/>
        <w:snapToGrid w:val="0"/>
        <w:spacing w:line="460" w:lineRule="exact"/>
        <w:ind w:firstLineChars="200" w:firstLine="560"/>
        <w:rPr>
          <w:rFonts w:ascii="宋体" w:cs="宋体"/>
          <w:b/>
          <w:bCs/>
          <w:kern w:val="0"/>
          <w:sz w:val="28"/>
          <w:szCs w:val="28"/>
        </w:rPr>
      </w:pPr>
      <w:bookmarkStart w:id="30" w:name="_Toc462564071"/>
      <w:bookmarkStart w:id="31" w:name="_Toc16938528"/>
      <w:bookmarkStart w:id="32" w:name="_Toc513029212"/>
      <w:bookmarkStart w:id="33" w:name="_Toc20823284"/>
      <w:r>
        <w:rPr>
          <w:rFonts w:ascii="宋体" w:cs="宋体" w:hint="eastAsia"/>
          <w:kern w:val="0"/>
          <w:sz w:val="28"/>
          <w:szCs w:val="28"/>
        </w:rPr>
        <w:t>3.磋商文件的修改</w:t>
      </w:r>
      <w:bookmarkEnd w:id="30"/>
      <w:bookmarkEnd w:id="31"/>
      <w:bookmarkEnd w:id="32"/>
      <w:bookmarkEnd w:id="33"/>
    </w:p>
    <w:p>
      <w:pPr>
        <w:adjustRightInd w:val="0"/>
        <w:snapToGrid w:val="0"/>
        <w:spacing w:line="460" w:lineRule="exact"/>
        <w:ind w:firstLineChars="200" w:firstLine="560"/>
        <w:rPr>
          <w:rFonts w:ascii="宋体" w:cs="宋体"/>
          <w:sz w:val="28"/>
          <w:szCs w:val="28"/>
        </w:rPr>
      </w:pPr>
      <w:r>
        <w:rPr>
          <w:rFonts w:ascii="宋体" w:cs="宋体" w:hint="eastAsia"/>
          <w:bCs/>
          <w:sz w:val="28"/>
          <w:szCs w:val="28"/>
        </w:rPr>
        <w:t>3.1</w:t>
      </w:r>
      <w:r>
        <w:rPr>
          <w:rFonts w:ascii="宋体" w:cs="宋体" w:hint="eastAsia"/>
          <w:sz w:val="28"/>
          <w:szCs w:val="28"/>
        </w:rPr>
        <w:t xml:space="preserve"> 在响应文件提交截止时间前，采购代理机构可以对磋商文件进行修改。</w:t>
      </w:r>
    </w:p>
    <w:p>
      <w:pPr>
        <w:adjustRightInd w:val="0"/>
        <w:snapToGrid w:val="0"/>
        <w:spacing w:line="460" w:lineRule="exact"/>
        <w:ind w:firstLineChars="200" w:firstLine="560"/>
        <w:rPr>
          <w:rFonts w:ascii="宋体" w:cs="宋体"/>
          <w:sz w:val="28"/>
          <w:szCs w:val="28"/>
        </w:rPr>
      </w:pPr>
      <w:r>
        <w:rPr>
          <w:rFonts w:ascii="宋体" w:cs="宋体" w:hint="eastAsia"/>
          <w:bCs/>
          <w:sz w:val="28"/>
          <w:szCs w:val="28"/>
        </w:rPr>
        <w:t xml:space="preserve">3.2 </w:t>
      </w:r>
      <w:r>
        <w:rPr>
          <w:rFonts w:ascii="宋体" w:cs="宋体" w:hint="eastAsia"/>
          <w:sz w:val="28"/>
          <w:szCs w:val="28"/>
        </w:rPr>
        <w:t>采购代理机构有权按照法定的要求推迟响应文件提交截止日期和磋商日期。</w:t>
      </w:r>
    </w:p>
    <w:p>
      <w:pPr>
        <w:adjustRightInd w:val="0"/>
        <w:snapToGrid w:val="0"/>
        <w:spacing w:line="460" w:lineRule="exact"/>
        <w:ind w:firstLineChars="200" w:firstLine="560"/>
        <w:rPr>
          <w:rFonts w:ascii="宋体" w:cs="宋体"/>
          <w:sz w:val="28"/>
          <w:szCs w:val="28"/>
        </w:rPr>
      </w:pPr>
      <w:r>
        <w:rPr>
          <w:rFonts w:ascii="宋体" w:cs="宋体" w:hint="eastAsia"/>
          <w:bCs/>
          <w:sz w:val="28"/>
          <w:szCs w:val="28"/>
        </w:rPr>
        <w:t xml:space="preserve">3.3 </w:t>
      </w:r>
      <w:r>
        <w:rPr>
          <w:rFonts w:ascii="宋体" w:cs="宋体" w:hint="eastAsia"/>
          <w:sz w:val="28"/>
          <w:szCs w:val="28"/>
        </w:rPr>
        <w:t>磋商文件的修改将在南通市统计局网站公布，补充文件将作为磋商文件的组成部分，并对供应商具有约束力。</w:t>
      </w:r>
    </w:p>
    <w:p>
      <w:pPr>
        <w:keepNext/>
        <w:keepLines/>
        <w:widowControl w:val="0"/>
        <w:adjustRightInd w:val="0"/>
        <w:snapToGrid w:val="0"/>
        <w:spacing w:line="460" w:lineRule="exact"/>
        <w:ind w:firstLineChars="200" w:firstLine="560"/>
        <w:outlineLvl w:val="1"/>
        <w:rPr>
          <w:rFonts w:ascii="宋体" w:cs="宋体"/>
          <w:b/>
          <w:bCs/>
          <w:kern w:val="0"/>
          <w:sz w:val="28"/>
          <w:szCs w:val="28"/>
        </w:rPr>
      </w:pPr>
      <w:bookmarkStart w:id="34" w:name="_Toc20823285"/>
      <w:bookmarkStart w:id="35" w:name="_Toc120614216"/>
      <w:bookmarkStart w:id="36" w:name="_Toc462564072"/>
      <w:bookmarkStart w:id="37" w:name="_Toc16938529"/>
      <w:bookmarkStart w:id="38" w:name="_Toc513029213"/>
      <w:r>
        <w:rPr>
          <w:rFonts w:ascii="宋体" w:cs="宋体" w:hint="eastAsia"/>
          <w:b/>
          <w:bCs/>
          <w:kern w:val="0"/>
          <w:sz w:val="28"/>
          <w:szCs w:val="28"/>
        </w:rPr>
        <w:t>三、响应文件的编制</w:t>
      </w:r>
      <w:bookmarkEnd w:id="34"/>
      <w:bookmarkEnd w:id="35"/>
      <w:bookmarkEnd w:id="36"/>
      <w:bookmarkEnd w:id="37"/>
      <w:bookmarkEnd w:id="38"/>
    </w:p>
    <w:p>
      <w:pPr>
        <w:keepNext/>
        <w:widowControl w:val="0"/>
        <w:adjustRightInd w:val="0"/>
        <w:snapToGrid w:val="0"/>
        <w:spacing w:line="460" w:lineRule="exact"/>
        <w:ind w:firstLineChars="200" w:firstLine="560"/>
        <w:rPr>
          <w:rFonts w:ascii="宋体" w:cs="宋体"/>
          <w:bCs/>
          <w:kern w:val="0"/>
          <w:sz w:val="28"/>
          <w:szCs w:val="28"/>
        </w:rPr>
      </w:pPr>
      <w:bookmarkStart w:id="39" w:name="_Toc16938530"/>
      <w:bookmarkStart w:id="40" w:name="_Toc462564073"/>
      <w:bookmarkStart w:id="41" w:name="_Toc513029214"/>
      <w:bookmarkStart w:id="42" w:name="_Toc20823286"/>
      <w:r>
        <w:rPr>
          <w:rFonts w:ascii="宋体" w:cs="宋体" w:hint="eastAsia"/>
          <w:kern w:val="0"/>
          <w:sz w:val="28"/>
          <w:szCs w:val="28"/>
        </w:rPr>
        <w:t>1.响应文件的语言及度量衡单位</w:t>
      </w:r>
      <w:bookmarkEnd w:id="39"/>
      <w:bookmarkEnd w:id="40"/>
      <w:bookmarkEnd w:id="41"/>
      <w:bookmarkEnd w:id="42"/>
    </w:p>
    <w:p>
      <w:pPr>
        <w:adjustRightInd w:val="0"/>
        <w:snapToGrid w:val="0"/>
        <w:spacing w:line="460" w:lineRule="exact"/>
        <w:ind w:firstLineChars="200" w:firstLine="560"/>
        <w:rPr>
          <w:rFonts w:ascii="宋体" w:cs="宋体"/>
          <w:sz w:val="28"/>
          <w:szCs w:val="28"/>
        </w:rPr>
      </w:pPr>
      <w:r>
        <w:rPr>
          <w:rFonts w:ascii="宋体" w:cs="宋体" w:hint="eastAsia"/>
          <w:bCs/>
          <w:sz w:val="28"/>
          <w:szCs w:val="28"/>
        </w:rPr>
        <w:t>1.1</w:t>
      </w:r>
      <w:r>
        <w:rPr>
          <w:rFonts w:ascii="宋体" w:cs="宋体" w:hint="eastAsia"/>
          <w:sz w:val="28"/>
          <w:szCs w:val="28"/>
        </w:rPr>
        <w:t>供应商提交的响应文件以及供应商与采购代理机构及采购人就有关磋商的所有来往通知、函件和文件均应使用</w:t>
      </w:r>
      <w:r>
        <w:rPr>
          <w:rFonts w:ascii="宋体" w:cs="宋体" w:hint="eastAsia"/>
          <w:bCs/>
          <w:sz w:val="28"/>
          <w:szCs w:val="28"/>
        </w:rPr>
        <w:t>简体中文</w:t>
      </w:r>
      <w:r>
        <w:rPr>
          <w:rFonts w:ascii="宋体" w:cs="宋体" w:hint="eastAsia"/>
          <w:sz w:val="28"/>
          <w:szCs w:val="28"/>
        </w:rPr>
        <w:t>。</w:t>
      </w:r>
    </w:p>
    <w:p>
      <w:pPr>
        <w:adjustRightInd w:val="0"/>
        <w:snapToGrid w:val="0"/>
        <w:spacing w:line="460" w:lineRule="exact"/>
        <w:ind w:firstLineChars="200" w:firstLine="560"/>
        <w:rPr>
          <w:rFonts w:ascii="宋体" w:cs="宋体"/>
          <w:sz w:val="28"/>
          <w:szCs w:val="28"/>
        </w:rPr>
      </w:pPr>
      <w:r>
        <w:rPr>
          <w:rFonts w:ascii="宋体" w:cs="宋体" w:hint="eastAsia"/>
          <w:bCs/>
          <w:sz w:val="28"/>
          <w:szCs w:val="28"/>
        </w:rPr>
        <w:t>1.2</w:t>
      </w:r>
      <w:r>
        <w:rPr>
          <w:rFonts w:ascii="宋体" w:cs="宋体" w:hint="eastAsia"/>
          <w:sz w:val="28"/>
          <w:szCs w:val="28"/>
        </w:rPr>
        <w:t xml:space="preserve"> 除技术性能另有规定外，响应文件所使用的度量衡单位，均须采用国家法定计量单位。</w:t>
      </w:r>
    </w:p>
    <w:p>
      <w:pPr>
        <w:keepNext/>
        <w:widowControl w:val="0"/>
        <w:adjustRightInd w:val="0"/>
        <w:snapToGrid w:val="0"/>
        <w:spacing w:line="460" w:lineRule="exact"/>
        <w:ind w:firstLineChars="200" w:firstLine="560"/>
        <w:rPr>
          <w:rFonts w:ascii="宋体" w:cs="宋体"/>
          <w:b/>
          <w:bCs/>
          <w:kern w:val="0"/>
          <w:sz w:val="28"/>
          <w:szCs w:val="28"/>
        </w:rPr>
      </w:pPr>
      <w:bookmarkStart w:id="43" w:name="_Toc20823287"/>
      <w:bookmarkStart w:id="44" w:name="_Toc462564074"/>
      <w:bookmarkStart w:id="45" w:name="_Toc16938531"/>
      <w:bookmarkStart w:id="46" w:name="_Toc513029215"/>
      <w:r>
        <w:rPr>
          <w:rFonts w:ascii="宋体" w:cs="宋体" w:hint="eastAsia"/>
          <w:kern w:val="0"/>
          <w:sz w:val="28"/>
          <w:szCs w:val="28"/>
        </w:rPr>
        <w:t>2.响应文件构成</w:t>
      </w:r>
      <w:bookmarkEnd w:id="43"/>
      <w:bookmarkEnd w:id="44"/>
      <w:bookmarkEnd w:id="45"/>
      <w:bookmarkEnd w:id="46"/>
    </w:p>
    <w:p>
      <w:pPr>
        <w:adjustRightInd w:val="0"/>
        <w:snapToGrid w:val="0"/>
        <w:spacing w:line="460" w:lineRule="exact"/>
        <w:ind w:firstLineChars="200" w:firstLine="560"/>
        <w:rPr>
          <w:rFonts w:ascii="宋体" w:cs="宋体"/>
          <w:sz w:val="28"/>
          <w:szCs w:val="28"/>
        </w:rPr>
      </w:pPr>
      <w:r>
        <w:rPr>
          <w:rFonts w:ascii="宋体" w:cs="宋体" w:hint="eastAsia"/>
          <w:bCs/>
          <w:sz w:val="28"/>
          <w:szCs w:val="28"/>
        </w:rPr>
        <w:t>2.1</w:t>
      </w:r>
      <w:r>
        <w:rPr>
          <w:rFonts w:ascii="宋体" w:cs="宋体" w:hint="eastAsia"/>
          <w:sz w:val="28"/>
          <w:szCs w:val="28"/>
        </w:rPr>
        <w:t xml:space="preserve"> 供应商编写的响应文件应包括资格审查文件、商务技术文件、价格文件。供应商按“第五部分 响应文件组成”要求编写响应文件。</w:t>
      </w:r>
    </w:p>
    <w:p>
      <w:pPr>
        <w:keepNext/>
        <w:widowControl w:val="0"/>
        <w:adjustRightInd w:val="0"/>
        <w:snapToGrid w:val="0"/>
        <w:spacing w:line="460" w:lineRule="exact"/>
        <w:ind w:firstLineChars="200" w:firstLine="560"/>
        <w:rPr>
          <w:rFonts w:ascii="宋体" w:cs="宋体"/>
          <w:b/>
          <w:bCs/>
          <w:kern w:val="0"/>
          <w:sz w:val="28"/>
          <w:szCs w:val="28"/>
        </w:rPr>
      </w:pPr>
      <w:bookmarkStart w:id="47" w:name="_Hlt26668975"/>
      <w:bookmarkStart w:id="48" w:name="_Hlt26670360"/>
      <w:bookmarkStart w:id="49" w:name="_Hlt26954838"/>
      <w:bookmarkStart w:id="50" w:name="_Toc14577360"/>
      <w:bookmarkStart w:id="51" w:name="_Toc49090511"/>
      <w:bookmarkEnd w:id="47"/>
      <w:bookmarkEnd w:id="48"/>
      <w:bookmarkEnd w:id="49"/>
      <w:r>
        <w:rPr>
          <w:rFonts w:ascii="宋体" w:cs="宋体" w:hint="eastAsia"/>
          <w:kern w:val="0"/>
          <w:sz w:val="28"/>
          <w:szCs w:val="28"/>
        </w:rPr>
        <w:t>3.</w:t>
      </w:r>
      <w:bookmarkEnd w:id="50"/>
      <w:bookmarkEnd w:id="51"/>
      <w:r>
        <w:rPr>
          <w:rFonts w:ascii="宋体" w:cs="宋体" w:hint="eastAsia"/>
          <w:kern w:val="0"/>
          <w:sz w:val="28"/>
          <w:szCs w:val="28"/>
        </w:rPr>
        <w:t>磋商响应有效期</w:t>
      </w:r>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3.1磋商响应有效期为采购代理机构规定的响应文件</w:t>
      </w:r>
      <w:r>
        <w:rPr>
          <w:rFonts w:ascii="宋体" w:cs="宋体" w:hint="eastAsia"/>
          <w:sz w:val="28"/>
          <w:szCs w:val="28"/>
        </w:rPr>
        <w:t>提交</w:t>
      </w:r>
      <w:r>
        <w:rPr>
          <w:rFonts w:ascii="宋体" w:cs="宋体" w:hint="eastAsia"/>
          <w:bCs/>
          <w:sz w:val="28"/>
          <w:szCs w:val="28"/>
        </w:rPr>
        <w:t>截止时间后</w:t>
      </w:r>
      <w:r>
        <w:rPr>
          <w:rFonts w:ascii="宋体" w:cs="宋体" w:hint="eastAsia"/>
          <w:b/>
          <w:sz w:val="28"/>
          <w:szCs w:val="28"/>
          <w:u w:val="single"/>
        </w:rPr>
        <w:t>六十（60）天</w:t>
      </w:r>
      <w:r>
        <w:rPr>
          <w:rFonts w:ascii="宋体" w:cs="宋体" w:hint="eastAsia"/>
          <w:bCs/>
          <w:sz w:val="28"/>
          <w:szCs w:val="28"/>
        </w:rPr>
        <w:t>。磋商响应有效期比规定短的将被视为非实质性响应而予以拒绝。</w:t>
      </w:r>
    </w:p>
    <w:p>
      <w:pPr>
        <w:keepNext/>
        <w:widowControl w:val="0"/>
        <w:adjustRightInd w:val="0"/>
        <w:snapToGrid w:val="0"/>
        <w:spacing w:line="460" w:lineRule="exact"/>
        <w:ind w:firstLineChars="200" w:firstLine="560"/>
        <w:rPr>
          <w:rFonts w:ascii="宋体" w:cs="宋体"/>
          <w:b/>
          <w:bCs/>
          <w:kern w:val="0"/>
          <w:sz w:val="28"/>
          <w:szCs w:val="28"/>
        </w:rPr>
      </w:pPr>
      <w:r>
        <w:rPr>
          <w:rFonts w:ascii="宋体" w:cs="宋体" w:hint="eastAsia"/>
          <w:kern w:val="0"/>
          <w:sz w:val="28"/>
          <w:szCs w:val="28"/>
        </w:rPr>
        <w:t>4. 磋商响应有效期的延长</w:t>
      </w:r>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4.1在特殊情况下，采购代理机构于原磋商响应有效期满之前，可向磋商供应商提出延长磋商响应有效期的要求。这种要求与答复均应采用书面形式。供应商可以拒绝采购代理机构的这一要求而放弃磋商响应，同意延长磋商响应有效期的供应商既不能要求也不允许修改其响应文件。</w:t>
      </w:r>
      <w:r>
        <w:rPr>
          <w:rFonts w:ascii="宋体" w:cs="宋体" w:hint="eastAsia"/>
          <w:sz w:val="28"/>
          <w:szCs w:val="28"/>
        </w:rPr>
        <w:t>受磋商响应有效期约束的所有权利与义务均延长至新的有效期</w:t>
      </w:r>
      <w:r>
        <w:rPr>
          <w:rFonts w:ascii="宋体" w:cs="宋体" w:hint="eastAsia"/>
          <w:bCs/>
          <w:sz w:val="28"/>
          <w:szCs w:val="28"/>
        </w:rPr>
        <w:t>。</w:t>
      </w:r>
    </w:p>
    <w:p>
      <w:pPr>
        <w:keepNext/>
        <w:keepLines/>
        <w:widowControl w:val="0"/>
        <w:adjustRightInd w:val="0"/>
        <w:snapToGrid w:val="0"/>
        <w:spacing w:line="460" w:lineRule="exact"/>
        <w:ind w:firstLineChars="200" w:firstLine="560"/>
        <w:outlineLvl w:val="1"/>
        <w:rPr>
          <w:rFonts w:ascii="宋体" w:cs="宋体"/>
          <w:b/>
          <w:bCs/>
          <w:kern w:val="0"/>
          <w:sz w:val="28"/>
          <w:szCs w:val="28"/>
        </w:rPr>
      </w:pPr>
      <w:bookmarkStart w:id="52" w:name="_Hlt26954739"/>
      <w:bookmarkStart w:id="53" w:name="_Hlt26954852"/>
      <w:bookmarkStart w:id="54" w:name="_Toc20823296"/>
      <w:bookmarkStart w:id="55" w:name="_Toc513029224"/>
      <w:bookmarkStart w:id="56" w:name="_Toc16938540"/>
      <w:bookmarkStart w:id="57" w:name="_Toc120614217"/>
      <w:bookmarkEnd w:id="52"/>
      <w:bookmarkEnd w:id="53"/>
      <w:r>
        <w:rPr>
          <w:rFonts w:ascii="宋体" w:cs="宋体" w:hint="eastAsia"/>
          <w:b/>
          <w:bCs/>
          <w:kern w:val="0"/>
          <w:sz w:val="28"/>
          <w:szCs w:val="28"/>
        </w:rPr>
        <w:t>四、响应文件的提交</w:t>
      </w:r>
      <w:bookmarkEnd w:id="54"/>
      <w:bookmarkEnd w:id="55"/>
      <w:bookmarkEnd w:id="56"/>
      <w:bookmarkEnd w:id="57"/>
    </w:p>
    <w:p>
      <w:pPr>
        <w:adjustRightInd w:val="0"/>
        <w:snapToGrid w:val="0"/>
        <w:spacing w:line="460" w:lineRule="exact"/>
        <w:ind w:firstLineChars="200" w:firstLine="560"/>
        <w:rPr>
          <w:rFonts w:ascii="宋体" w:cs="宋体"/>
          <w:kern w:val="0"/>
          <w:sz w:val="28"/>
          <w:szCs w:val="28"/>
        </w:rPr>
      </w:pPr>
      <w:bookmarkStart w:id="58" w:name="_Toc16938542"/>
      <w:bookmarkStart w:id="59" w:name="_Toc513029226"/>
      <w:bookmarkStart w:id="60" w:name="_Toc20823298"/>
      <w:r>
        <w:rPr>
          <w:rFonts w:ascii="宋体" w:cs="宋体" w:hint="eastAsia"/>
          <w:kern w:val="0"/>
          <w:sz w:val="28"/>
          <w:szCs w:val="28"/>
        </w:rPr>
        <w:t>1.响应文件的提交</w:t>
      </w:r>
    </w:p>
    <w:p>
      <w:pPr>
        <w:adjustRightInd w:val="0"/>
        <w:snapToGrid w:val="0"/>
        <w:spacing w:line="460" w:lineRule="exact"/>
        <w:ind w:firstLineChars="200" w:firstLine="560"/>
        <w:rPr>
          <w:rFonts w:ascii="宋体" w:cs="宋体"/>
          <w:kern w:val="0"/>
          <w:sz w:val="28"/>
          <w:szCs w:val="28"/>
        </w:rPr>
      </w:pPr>
      <w:r>
        <w:rPr>
          <w:rFonts w:ascii="宋体" w:cs="宋体" w:hint="eastAsia"/>
          <w:kern w:val="0"/>
          <w:sz w:val="28"/>
          <w:szCs w:val="28"/>
        </w:rPr>
        <w:t>1.1纸质响应文件三部分内容【资格审查文件、商务技术文件、价格文件】须分别单独密封，并牢固装订成册，不得相互混淆，文件自编目录并连续标注页码，不得将内容拆开。价格文件不得出现于其他磋商文件中。</w:t>
      </w:r>
    </w:p>
    <w:p>
      <w:pPr>
        <w:adjustRightInd w:val="0"/>
        <w:snapToGrid w:val="0"/>
        <w:spacing w:line="460" w:lineRule="exact"/>
        <w:ind w:firstLineChars="200" w:firstLine="560"/>
        <w:rPr>
          <w:rFonts w:ascii="宋体" w:cs="宋体"/>
          <w:kern w:val="0"/>
          <w:sz w:val="28"/>
          <w:szCs w:val="28"/>
        </w:rPr>
      </w:pPr>
      <w:r>
        <w:rPr>
          <w:rFonts w:ascii="宋体" w:cs="宋体" w:hint="eastAsia"/>
          <w:kern w:val="0"/>
          <w:sz w:val="28"/>
          <w:szCs w:val="28"/>
        </w:rPr>
        <w:t>1.2纸质响应文件每一部分内容均须提供“正本一份、副本一份”纸质响应文件，并将每一部分内容的正本、副本及图纸类等（如需提供图纸等其它资料的话）合并密封，分别装在三个密封袋或密封箱内（如有A3大小的图纸类，可单独密封），密封完好以不泄露投标文件内容为主要判断依据。</w:t>
      </w:r>
    </w:p>
    <w:p>
      <w:pPr>
        <w:adjustRightInd w:val="0"/>
        <w:snapToGrid w:val="0"/>
        <w:spacing w:line="460" w:lineRule="exact"/>
        <w:ind w:firstLineChars="200" w:firstLine="560"/>
        <w:rPr>
          <w:rFonts w:ascii="宋体" w:cs="宋体"/>
          <w:kern w:val="0"/>
          <w:sz w:val="28"/>
          <w:szCs w:val="28"/>
        </w:rPr>
      </w:pPr>
      <w:r>
        <w:rPr>
          <w:rFonts w:ascii="宋体" w:cs="宋体" w:hint="eastAsia"/>
          <w:kern w:val="0"/>
          <w:sz w:val="28"/>
          <w:szCs w:val="28"/>
        </w:rPr>
        <w:t>1.3纸质响应文件须采用A4纸（图纸等除外），正、副本须打印并由法定代表人或授权人签字并加盖单位印章。文件内容中不得行间插字、涂改、增删，如修补错漏处，须由响应文件签署人签字并加盖公章。</w:t>
      </w:r>
    </w:p>
    <w:p>
      <w:pPr>
        <w:adjustRightInd w:val="0"/>
        <w:snapToGrid w:val="0"/>
        <w:spacing w:line="460" w:lineRule="exact"/>
        <w:ind w:firstLineChars="200" w:firstLine="560"/>
        <w:rPr>
          <w:rFonts w:ascii="宋体" w:cs="宋体"/>
          <w:kern w:val="0"/>
          <w:sz w:val="28"/>
          <w:szCs w:val="28"/>
        </w:rPr>
      </w:pPr>
      <w:r>
        <w:rPr>
          <w:rFonts w:ascii="宋体" w:cs="宋体" w:hint="eastAsia"/>
          <w:kern w:val="0"/>
          <w:sz w:val="28"/>
          <w:szCs w:val="28"/>
        </w:rPr>
        <w:t>1.4电子响应文件一份，电子响应文件的内容为“资格审查文件、商务技术文件、价格文件”的打印盖章或电子签章后的响应文件的扫描件（资格审查文件、商务技术文件、价格文件需分别逐页连续扫描为三个独立的PDF文件），可以采取U盘或电子光盘方式单独密封提交。</w:t>
      </w:r>
    </w:p>
    <w:p>
      <w:pPr>
        <w:adjustRightInd w:val="0"/>
        <w:snapToGrid w:val="0"/>
        <w:spacing w:line="460" w:lineRule="exact"/>
        <w:ind w:firstLineChars="200" w:firstLine="560"/>
        <w:rPr>
          <w:rFonts w:ascii="宋体" w:cs="宋体"/>
          <w:kern w:val="0"/>
          <w:sz w:val="28"/>
          <w:szCs w:val="28"/>
        </w:rPr>
      </w:pPr>
      <w:r>
        <w:rPr>
          <w:rFonts w:ascii="宋体" w:cs="宋体" w:hint="eastAsia"/>
          <w:kern w:val="0"/>
          <w:sz w:val="28"/>
          <w:szCs w:val="28"/>
        </w:rPr>
        <w:t>1.5递交时间：供应商须在规定的响应文件接收截止时间前送达指定地点。供应商提交磋商文件，即视为已响应参加磋商活动。</w:t>
      </w:r>
    </w:p>
    <w:p>
      <w:pPr>
        <w:adjustRightInd w:val="0"/>
        <w:snapToGrid w:val="0"/>
        <w:spacing w:line="460" w:lineRule="exact"/>
        <w:ind w:firstLineChars="200" w:firstLine="560"/>
        <w:rPr>
          <w:rFonts w:ascii="宋体" w:cs="宋体"/>
          <w:bCs/>
          <w:sz w:val="28"/>
          <w:szCs w:val="28"/>
        </w:rPr>
      </w:pPr>
      <w:r>
        <w:rPr>
          <w:rFonts w:ascii="宋体" w:cs="宋体" w:hint="eastAsia"/>
          <w:kern w:val="0"/>
          <w:sz w:val="28"/>
          <w:szCs w:val="28"/>
        </w:rPr>
        <w:t>友情提醒：代理机构将拒绝接收未按照磋商文件要求密封的响应文件，拒绝接收在响应文件接收截止时间后递交的响应文件。</w:t>
      </w:r>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2.响应文件截止日期</w:t>
      </w:r>
      <w:bookmarkEnd w:id="58"/>
      <w:bookmarkEnd w:id="59"/>
      <w:bookmarkEnd w:id="60"/>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2.1 供应商提交响应文件的时间不得迟于磋商公告中规定的响应文件提交截止时间。</w:t>
      </w:r>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供应商应充分考虑到交通路况、停车等风险因素，如因供应商自身原因造成的磋商响应文件提交不成功由供应商自行承担全部责任。</w:t>
      </w:r>
    </w:p>
    <w:p>
      <w:pPr>
        <w:adjustRightInd w:val="0"/>
        <w:snapToGrid w:val="0"/>
        <w:spacing w:line="460" w:lineRule="exact"/>
        <w:ind w:firstLineChars="200" w:firstLine="560"/>
        <w:rPr>
          <w:rFonts w:ascii="宋体" w:cs="宋体"/>
          <w:bCs/>
          <w:sz w:val="28"/>
          <w:szCs w:val="28"/>
        </w:rPr>
      </w:pPr>
      <w:r>
        <w:rPr>
          <w:rFonts w:ascii="宋体" w:cs="宋体" w:hint="eastAsia"/>
          <w:sz w:val="28"/>
          <w:szCs w:val="28"/>
        </w:rPr>
        <w:t>2.2</w:t>
      </w:r>
      <w:r>
        <w:rPr>
          <w:rFonts w:ascii="宋体" w:cs="宋体" w:hint="eastAsia"/>
          <w:bCs/>
          <w:sz w:val="28"/>
          <w:szCs w:val="28"/>
        </w:rPr>
        <w:t xml:space="preserve"> 采购代理机构可以按照规定，通过修改响应文件酌情延长响应文件提交截止日期，在此情况下，供应商的所有权利和义务以及供应商受制的截止日期均应以延长后新的截止日期为准。</w:t>
      </w:r>
    </w:p>
    <w:p>
      <w:pPr>
        <w:keepNext/>
        <w:widowControl w:val="0"/>
        <w:adjustRightInd w:val="0"/>
        <w:snapToGrid w:val="0"/>
        <w:spacing w:line="460" w:lineRule="exact"/>
        <w:ind w:firstLineChars="200" w:firstLine="560"/>
        <w:rPr>
          <w:rFonts w:ascii="宋体" w:cs="宋体"/>
          <w:b/>
          <w:bCs/>
          <w:kern w:val="0"/>
          <w:sz w:val="28"/>
          <w:szCs w:val="28"/>
        </w:rPr>
      </w:pPr>
      <w:bookmarkStart w:id="61" w:name="_Toc513029227"/>
      <w:bookmarkStart w:id="62" w:name="_Toc16938543"/>
      <w:bookmarkStart w:id="63" w:name="_Toc20823299"/>
      <w:r>
        <w:rPr>
          <w:rFonts w:ascii="宋体" w:cs="宋体" w:hint="eastAsia"/>
          <w:kern w:val="0"/>
          <w:sz w:val="28"/>
          <w:szCs w:val="28"/>
        </w:rPr>
        <w:t>3.响应文件</w:t>
      </w:r>
      <w:bookmarkEnd w:id="61"/>
      <w:bookmarkEnd w:id="62"/>
      <w:bookmarkEnd w:id="63"/>
      <w:r>
        <w:rPr>
          <w:rFonts w:ascii="宋体" w:cs="宋体" w:hint="eastAsia"/>
          <w:kern w:val="0"/>
          <w:sz w:val="28"/>
          <w:szCs w:val="28"/>
        </w:rPr>
        <w:t>的拒收</w:t>
      </w:r>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3.1 采购代理机构拒绝接收在其规定的响应文件提交截止时间后提交的任何响应文件。</w:t>
      </w:r>
    </w:p>
    <w:p>
      <w:pPr>
        <w:keepNext/>
        <w:widowControl w:val="0"/>
        <w:adjustRightInd w:val="0"/>
        <w:snapToGrid w:val="0"/>
        <w:spacing w:line="460" w:lineRule="exact"/>
        <w:ind w:firstLineChars="200" w:firstLine="560"/>
        <w:rPr>
          <w:rFonts w:ascii="宋体" w:cs="宋体"/>
          <w:b/>
          <w:bCs/>
          <w:kern w:val="0"/>
          <w:sz w:val="28"/>
          <w:szCs w:val="28"/>
        </w:rPr>
      </w:pPr>
      <w:bookmarkStart w:id="64" w:name="_Toc20823300"/>
      <w:bookmarkStart w:id="65" w:name="_Toc16938544"/>
      <w:bookmarkStart w:id="66" w:name="_Toc513029228"/>
      <w:r>
        <w:rPr>
          <w:rFonts w:ascii="宋体" w:cs="宋体" w:hint="eastAsia"/>
          <w:kern w:val="0"/>
          <w:sz w:val="28"/>
          <w:szCs w:val="28"/>
        </w:rPr>
        <w:t>4. 响应文件的撤回和修改</w:t>
      </w:r>
      <w:bookmarkEnd w:id="64"/>
      <w:bookmarkEnd w:id="65"/>
      <w:bookmarkEnd w:id="66"/>
    </w:p>
    <w:p>
      <w:pPr>
        <w:adjustRightInd w:val="0"/>
        <w:snapToGrid w:val="0"/>
        <w:spacing w:line="460" w:lineRule="exact"/>
        <w:ind w:firstLineChars="200" w:firstLine="560"/>
        <w:rPr>
          <w:rFonts w:ascii="宋体" w:cs="宋体"/>
          <w:sz w:val="28"/>
          <w:szCs w:val="28"/>
        </w:rPr>
      </w:pPr>
      <w:r>
        <w:rPr>
          <w:rFonts w:ascii="宋体" w:cs="宋体" w:hint="eastAsia"/>
          <w:sz w:val="28"/>
          <w:szCs w:val="28"/>
        </w:rPr>
        <w:t>4.1 响应文件的撤回</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4.1.1 响应文件的撤回</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供应商可在响应文件提交截止时间前，书面撤回其磋商响应文件。</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4.1.2 供应商撤回磋商响应文件，则认为其不再参与本项目磋商活动。</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4.2 响应文件的修改</w:t>
      </w:r>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在响应文件提交截止时间之后，供应商不得再对其提交的响应文件进行修改。</w:t>
      </w:r>
    </w:p>
    <w:p>
      <w:pPr>
        <w:keepNext/>
        <w:keepLines/>
        <w:widowControl w:val="0"/>
        <w:adjustRightInd w:val="0"/>
        <w:snapToGrid w:val="0"/>
        <w:spacing w:line="460" w:lineRule="exact"/>
        <w:ind w:firstLineChars="200" w:firstLine="560"/>
        <w:outlineLvl w:val="1"/>
        <w:rPr>
          <w:rFonts w:ascii="宋体" w:cs="宋体"/>
          <w:b/>
          <w:bCs/>
          <w:kern w:val="0"/>
          <w:sz w:val="28"/>
          <w:szCs w:val="28"/>
        </w:rPr>
      </w:pPr>
      <w:bookmarkStart w:id="67" w:name="_Toc16938545"/>
      <w:bookmarkStart w:id="68" w:name="_Toc20823301"/>
      <w:bookmarkStart w:id="69" w:name="_Toc513029229"/>
      <w:bookmarkStart w:id="70" w:name="_Toc120614218"/>
      <w:r>
        <w:rPr>
          <w:rFonts w:ascii="宋体" w:cs="宋体" w:hint="eastAsia"/>
          <w:b/>
          <w:bCs/>
          <w:kern w:val="0"/>
          <w:sz w:val="28"/>
          <w:szCs w:val="28"/>
        </w:rPr>
        <w:t>五</w:t>
      </w:r>
      <w:bookmarkStart w:id="71" w:name="_Toc513029230"/>
      <w:bookmarkStart w:id="72" w:name="_Toc16938546"/>
      <w:bookmarkStart w:id="73" w:name="_Toc20823302"/>
      <w:bookmarkEnd w:id="67"/>
      <w:bookmarkEnd w:id="68"/>
      <w:bookmarkEnd w:id="69"/>
      <w:bookmarkEnd w:id="70"/>
      <w:r>
        <w:rPr>
          <w:rFonts w:ascii="宋体" w:cs="宋体" w:hint="eastAsia"/>
          <w:b/>
          <w:bCs/>
          <w:kern w:val="0"/>
          <w:sz w:val="28"/>
          <w:szCs w:val="28"/>
        </w:rPr>
        <w:t>、磋商与评审</w:t>
      </w:r>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1.磋商仪式</w:t>
      </w:r>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1.1采购代理机构将在磋商公告中规定的时间和地点组织磋商开始仪式。供应商应当在磋商公告中规定的时间和地点参加磋商活动。</w:t>
      </w:r>
    </w:p>
    <w:p>
      <w:pPr>
        <w:adjustRightInd w:val="0"/>
        <w:snapToGrid w:val="0"/>
        <w:spacing w:line="460" w:lineRule="exact"/>
        <w:ind w:firstLineChars="200" w:firstLine="560"/>
        <w:rPr>
          <w:rFonts w:ascii="宋体" w:cs="宋体"/>
          <w:b/>
          <w:sz w:val="28"/>
          <w:szCs w:val="28"/>
        </w:rPr>
      </w:pPr>
      <w:r>
        <w:rPr>
          <w:rFonts w:ascii="宋体" w:cs="宋体" w:hint="eastAsia"/>
          <w:bCs/>
          <w:sz w:val="28"/>
          <w:szCs w:val="28"/>
        </w:rPr>
        <w:t>1.2 磋商活动的文件密封性检查工作</w:t>
      </w:r>
      <w:r>
        <w:rPr>
          <w:rFonts w:ascii="宋体" w:cs="宋体" w:hint="eastAsia"/>
          <w:sz w:val="28"/>
          <w:szCs w:val="28"/>
        </w:rPr>
        <w:t>由采购代理机构组织。</w:t>
      </w:r>
    </w:p>
    <w:p>
      <w:pPr>
        <w:adjustRightInd w:val="0"/>
        <w:snapToGrid w:val="0"/>
        <w:spacing w:line="460" w:lineRule="exact"/>
        <w:ind w:firstLineChars="200" w:firstLine="560"/>
        <w:rPr>
          <w:rFonts w:ascii="宋体" w:cs="宋体"/>
          <w:sz w:val="28"/>
          <w:szCs w:val="28"/>
        </w:rPr>
      </w:pPr>
      <w:r>
        <w:rPr>
          <w:rFonts w:ascii="宋体" w:cs="宋体" w:hint="eastAsia"/>
          <w:bCs/>
          <w:sz w:val="28"/>
          <w:szCs w:val="28"/>
        </w:rPr>
        <w:t>1.3供应商在磋商过程中涉及到的磋商文件密封性检查、磋商结果确认等工作，按照采购代理机构指引进行。</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2.磋商小组</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2.1磋商开始仪式结束后，采购代理机构将立即组织磋商小组进行评审。</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2.2磋商小组由采购人代表和评审专家共3人以上单数组成，其中评审专家人数不得少于磋商小组成员总数的2/3。采购人不得以评审专家身份参加本部门或本单位采购项目的评审。采购代理机构人员不得参加本机构代理的采购项目的评审。</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2.3超过公开招标限额标准的项目，磋商小组应当由5人以上单数组成。</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2.4采用磋商的采购项目，评审专家应当从政府采购评审专家库内相关专业的专家名单中随机抽取，或者从代理机构的政府采购专家资源库中随机抽取。市场竞争不充分的科研项目、需要扶持的科技成果转化项目，以及情况特殊、通过随机方式难以确定合适的评审专家的项目，经主管预算单位同意，可以自行选定评审专家。技术复杂、专业性强的磋商采购项目，评审专家中应当包含1名法律专家。</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2.5磋商小组独立工作，负责评审所有响应文件并确定成交</w:t>
      </w:r>
      <w:r>
        <w:rPr>
          <w:rFonts w:ascii="宋体" w:cs="宋体"/>
          <w:sz w:val="28"/>
          <w:szCs w:val="28"/>
        </w:rPr>
        <w:t>候</w:t>
      </w:r>
      <w:r>
        <w:rPr>
          <w:rFonts w:ascii="宋体" w:cs="宋体" w:hint="eastAsia"/>
          <w:sz w:val="28"/>
          <w:szCs w:val="28"/>
        </w:rPr>
        <w:t>选人。</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3. 磋商评审过程的保密与公正</w:t>
      </w:r>
    </w:p>
    <w:p>
      <w:pPr>
        <w:tabs>
          <w:tab w:val="left" w:pos="900"/>
        </w:tabs>
        <w:adjustRightInd w:val="0"/>
        <w:snapToGrid w:val="0"/>
        <w:spacing w:line="460" w:lineRule="exact"/>
        <w:ind w:firstLineChars="200" w:firstLine="560"/>
        <w:rPr>
          <w:rFonts w:ascii="宋体" w:cs="宋体"/>
          <w:sz w:val="28"/>
          <w:szCs w:val="28"/>
        </w:rPr>
      </w:pPr>
      <w:r>
        <w:rPr>
          <w:rFonts w:ascii="宋体" w:cs="宋体" w:hint="eastAsia"/>
          <w:sz w:val="28"/>
          <w:szCs w:val="28"/>
        </w:rPr>
        <w:t>3.1磋商小组、采购人和采购代理机构工作人员、相关监督人员等与评审工作有关的人员，对评审情况以及在评审过程中获悉的国家秘密、商业秘密负有保密责任。</w:t>
      </w:r>
    </w:p>
    <w:p>
      <w:pPr>
        <w:tabs>
          <w:tab w:val="left" w:pos="900"/>
        </w:tabs>
        <w:adjustRightInd w:val="0"/>
        <w:snapToGrid w:val="0"/>
        <w:spacing w:line="460" w:lineRule="exact"/>
        <w:ind w:firstLineChars="200" w:firstLine="560"/>
        <w:rPr>
          <w:rFonts w:ascii="宋体" w:cs="宋体"/>
          <w:sz w:val="28"/>
          <w:szCs w:val="28"/>
        </w:rPr>
      </w:pPr>
      <w:r>
        <w:rPr>
          <w:rFonts w:ascii="宋体" w:cs="宋体" w:hint="eastAsia"/>
          <w:sz w:val="28"/>
          <w:szCs w:val="28"/>
        </w:rPr>
        <w:t>3.2在磋商评审过程中，磋商供应商不得以任何行为影响磋商评审过程，否则其响应文件将被作为无效响应文件。</w:t>
      </w:r>
    </w:p>
    <w:p>
      <w:pPr>
        <w:tabs>
          <w:tab w:val="left" w:pos="900"/>
        </w:tabs>
        <w:adjustRightInd w:val="0"/>
        <w:snapToGrid w:val="0"/>
        <w:spacing w:line="460" w:lineRule="exact"/>
        <w:ind w:firstLineChars="200" w:firstLine="560"/>
        <w:rPr>
          <w:rFonts w:ascii="宋体" w:cs="宋体"/>
          <w:sz w:val="28"/>
          <w:szCs w:val="28"/>
        </w:rPr>
      </w:pPr>
      <w:r>
        <w:rPr>
          <w:rFonts w:ascii="宋体" w:cs="宋体" w:hint="eastAsia"/>
          <w:sz w:val="28"/>
          <w:szCs w:val="28"/>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pPr>
        <w:tabs>
          <w:tab w:val="left" w:pos="900"/>
        </w:tabs>
        <w:adjustRightInd w:val="0"/>
        <w:snapToGrid w:val="0"/>
        <w:spacing w:line="460" w:lineRule="exact"/>
        <w:ind w:firstLineChars="200" w:firstLine="560"/>
        <w:rPr>
          <w:rFonts w:ascii="宋体" w:cs="宋体"/>
          <w:bCs/>
          <w:sz w:val="28"/>
          <w:szCs w:val="28"/>
        </w:rPr>
      </w:pPr>
      <w:r>
        <w:rPr>
          <w:rFonts w:ascii="宋体" w:cs="宋体" w:hint="eastAsia"/>
          <w:sz w:val="28"/>
          <w:szCs w:val="28"/>
        </w:rPr>
        <w:t>3.4</w:t>
      </w:r>
      <w:r>
        <w:rPr>
          <w:rFonts w:ascii="宋体" w:cs="宋体" w:hint="eastAsia"/>
          <w:bCs/>
          <w:sz w:val="28"/>
          <w:szCs w:val="28"/>
        </w:rPr>
        <w:t>评审开始后，直至向成交供应商授予合同时止，凡是与审查、澄清、评价和比较响应的有关资料以及授标建议等，采购人、磋商小组、采购代理机构均不得向供应商或与评标无关的其他人员透露。</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3.5在评审期间，采购代理机构将设专门人员与供应商联系。</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3.6采购代理机构和评审小组不向未成交的供应商解释未成交原因，也不公布评审过程中的相关细节。</w:t>
      </w:r>
    </w:p>
    <w:p>
      <w:pPr>
        <w:tabs>
          <w:tab w:val="left" w:pos="900"/>
        </w:tabs>
        <w:adjustRightInd w:val="0"/>
        <w:snapToGrid w:val="0"/>
        <w:spacing w:line="460" w:lineRule="exact"/>
        <w:ind w:firstLineChars="200" w:firstLine="560"/>
        <w:rPr>
          <w:rFonts w:ascii="宋体" w:cs="宋体"/>
          <w:sz w:val="28"/>
          <w:szCs w:val="28"/>
        </w:rPr>
      </w:pPr>
      <w:r>
        <w:rPr>
          <w:rFonts w:ascii="宋体" w:cs="宋体" w:hint="eastAsia"/>
          <w:sz w:val="28"/>
          <w:szCs w:val="28"/>
        </w:rPr>
        <w:t>4.评审过程的澄清</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4.1评审期间，为有助于对响应文件的审查、评价和比较，磋商小组有权要求响应人对其响应文件进行澄清，但并非对每个供应商都作澄清要求。</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4.2接到磋商小组澄清要求的供应商应按磋商小组规定的时间和格式做出澄清，澄清的内容作为响应文件的补充部分，但实质性的内容不得做任何更改。</w:t>
      </w:r>
    </w:p>
    <w:p>
      <w:pPr>
        <w:adjustRightInd w:val="0"/>
        <w:snapToGrid w:val="0"/>
        <w:spacing w:line="460" w:lineRule="exact"/>
        <w:ind w:firstLineChars="200" w:firstLine="560"/>
        <w:rPr>
          <w:rFonts w:ascii="宋体" w:cs="宋体"/>
          <w:bCs/>
          <w:sz w:val="28"/>
          <w:szCs w:val="28"/>
        </w:rPr>
      </w:pPr>
      <w:r>
        <w:rPr>
          <w:rFonts w:ascii="宋体" w:cs="宋体" w:hint="eastAsia"/>
          <w:sz w:val="28"/>
          <w:szCs w:val="28"/>
        </w:rPr>
        <w:t>4.3 接到磋商小组澄清要求的供应商如未按规定做出澄清，其风</w:t>
      </w:r>
      <w:r>
        <w:rPr>
          <w:rFonts w:ascii="宋体" w:cs="宋体" w:hint="eastAsia"/>
          <w:bCs/>
          <w:sz w:val="28"/>
          <w:szCs w:val="28"/>
        </w:rPr>
        <w:t>险由供应商自行承担。</w:t>
      </w:r>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5.对响应文件的初审</w:t>
      </w:r>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5.1响应文件初审分为资格性审查和符合性审查。</w:t>
      </w:r>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5.1.1资格性检查：依据法律法规和磋商文件的规定，由采购人对响应文件中的资格审查文件进行审查。</w:t>
      </w:r>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5.1.2符合性审查：依据磋商文件的规定，由磋商小组从响应文件的有效性、完整性和对磋商文件的响应程度进行审查，以确定是否对磋商文件的实质性要求作出响应。</w:t>
      </w:r>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5.1.3未通过资格审查或符合性审查的供应商人，采购代理机构将告知未通过资格审查或符合性审查的原因，并记录存档。</w:t>
      </w:r>
    </w:p>
    <w:p>
      <w:pPr>
        <w:tabs>
          <w:tab w:val="left" w:pos="900"/>
        </w:tabs>
        <w:adjustRightInd w:val="0"/>
        <w:snapToGrid w:val="0"/>
        <w:spacing w:line="460" w:lineRule="exact"/>
        <w:ind w:firstLineChars="200" w:firstLine="560"/>
        <w:rPr>
          <w:rFonts w:ascii="宋体" w:cs="宋体"/>
          <w:bCs/>
          <w:sz w:val="28"/>
          <w:szCs w:val="28"/>
        </w:rPr>
      </w:pPr>
      <w:r>
        <w:rPr>
          <w:rFonts w:ascii="宋体" w:cs="宋体" w:hint="eastAsia"/>
          <w:bCs/>
          <w:sz w:val="28"/>
          <w:szCs w:val="28"/>
        </w:rPr>
        <w:t>5.2在正式磋商之前，磋商小组将首先审查每份响应文件是否实质性响应了磋商文件的要求。实质性响应的响应文件应该是与磋商文件要求的全部条款、条件和规格相符，没有重大负偏离或保留。</w:t>
      </w:r>
    </w:p>
    <w:p>
      <w:pPr>
        <w:tabs>
          <w:tab w:val="left" w:pos="900"/>
        </w:tabs>
        <w:adjustRightInd w:val="0"/>
        <w:snapToGrid w:val="0"/>
        <w:spacing w:line="460" w:lineRule="exact"/>
        <w:ind w:firstLineChars="200" w:firstLine="560"/>
        <w:rPr>
          <w:rFonts w:ascii="宋体" w:cs="宋体"/>
          <w:bCs/>
          <w:sz w:val="28"/>
          <w:szCs w:val="28"/>
        </w:rPr>
      </w:pPr>
      <w:r>
        <w:rPr>
          <w:rFonts w:ascii="宋体" w:cs="宋体" w:hint="eastAsia"/>
          <w:bCs/>
          <w:sz w:val="28"/>
          <w:szCs w:val="28"/>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pPr>
        <w:tabs>
          <w:tab w:val="left" w:pos="900"/>
        </w:tabs>
        <w:adjustRightInd w:val="0"/>
        <w:snapToGrid w:val="0"/>
        <w:spacing w:line="460" w:lineRule="exact"/>
        <w:ind w:firstLineChars="200" w:firstLine="560"/>
        <w:rPr>
          <w:rFonts w:ascii="宋体" w:cs="宋体"/>
          <w:bCs/>
          <w:sz w:val="28"/>
          <w:szCs w:val="28"/>
        </w:rPr>
      </w:pPr>
      <w:r>
        <w:rPr>
          <w:rFonts w:ascii="宋体" w:cs="宋体" w:hint="eastAsia"/>
          <w:bCs/>
          <w:sz w:val="28"/>
          <w:szCs w:val="28"/>
        </w:rPr>
        <w:t>5.3如果响应文件实质上没有响应磋商文件的要求，磋商小组将予以拒绝，供应商不得通过修改或撤销不合要求的偏离或保留而使其响应文件成为实质性响应的文件。</w:t>
      </w:r>
    </w:p>
    <w:p>
      <w:pPr>
        <w:tabs>
          <w:tab w:val="left" w:pos="900"/>
        </w:tabs>
        <w:adjustRightInd w:val="0"/>
        <w:snapToGrid w:val="0"/>
        <w:spacing w:line="460" w:lineRule="exact"/>
        <w:ind w:firstLineChars="200" w:firstLine="560"/>
        <w:rPr>
          <w:rFonts w:ascii="宋体" w:cs="宋体"/>
          <w:bCs/>
          <w:sz w:val="28"/>
          <w:szCs w:val="28"/>
        </w:rPr>
      </w:pPr>
      <w:r>
        <w:rPr>
          <w:rFonts w:ascii="宋体" w:cs="宋体" w:hint="eastAsia"/>
          <w:bCs/>
          <w:sz w:val="28"/>
          <w:szCs w:val="28"/>
        </w:rPr>
        <w:t>5.4磋商小组将对确定为实质性响应的文件进行进一步审核，看其是否有计算上或累加上的算术错误，修正错误的原则如下：</w:t>
      </w:r>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（1）响应文件中</w:t>
      </w:r>
      <w:r>
        <w:rPr>
          <w:rFonts w:ascii="宋体" w:cs="宋体" w:hint="eastAsia"/>
          <w:kern w:val="0"/>
          <w:sz w:val="28"/>
          <w:szCs w:val="28"/>
        </w:rPr>
        <w:t>报价总表</w:t>
      </w:r>
      <w:r>
        <w:rPr>
          <w:rFonts w:ascii="宋体" w:cs="宋体" w:hint="eastAsia"/>
          <w:bCs/>
          <w:sz w:val="28"/>
          <w:szCs w:val="28"/>
        </w:rPr>
        <w:t>内容与响应文件中相应内容不一致的，以</w:t>
      </w:r>
      <w:r>
        <w:rPr>
          <w:rFonts w:ascii="宋体" w:cs="宋体" w:hint="eastAsia"/>
          <w:kern w:val="0"/>
          <w:sz w:val="28"/>
          <w:szCs w:val="28"/>
        </w:rPr>
        <w:t>报价总表</w:t>
      </w:r>
      <w:r>
        <w:rPr>
          <w:rFonts w:ascii="宋体" w:cs="宋体" w:hint="eastAsia"/>
          <w:bCs/>
          <w:sz w:val="28"/>
          <w:szCs w:val="28"/>
        </w:rPr>
        <w:t>为准。</w:t>
      </w:r>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（2）大写金额和小写金额不一致的，以大写金额为准。</w:t>
      </w:r>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（3）单价金额小数点或者百分比有明显错位的，以</w:t>
      </w:r>
      <w:r>
        <w:rPr>
          <w:rFonts w:ascii="宋体" w:cs="宋体" w:hint="eastAsia"/>
          <w:kern w:val="0"/>
          <w:sz w:val="28"/>
          <w:szCs w:val="28"/>
        </w:rPr>
        <w:t>报价总表</w:t>
      </w:r>
      <w:r>
        <w:rPr>
          <w:rFonts w:ascii="宋体" w:cs="宋体" w:hint="eastAsia"/>
          <w:bCs/>
          <w:sz w:val="28"/>
          <w:szCs w:val="28"/>
        </w:rPr>
        <w:t>的总价为准，并修改单价。</w:t>
      </w:r>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（4）总价金额与按单价汇总金额不一致的，以单价金额计算结果为准。</w:t>
      </w:r>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同时出现两种以上错误的，按照前款规定的顺序修正。</w:t>
      </w:r>
    </w:p>
    <w:p>
      <w:pPr>
        <w:adjustRightInd w:val="0"/>
        <w:snapToGrid w:val="0"/>
        <w:spacing w:line="460" w:lineRule="exact"/>
        <w:ind w:firstLineChars="200" w:firstLine="560"/>
        <w:rPr>
          <w:rFonts w:ascii="宋体" w:cs="宋体"/>
          <w:bCs/>
          <w:sz w:val="28"/>
          <w:szCs w:val="28"/>
        </w:rPr>
      </w:pPr>
      <w:r>
        <w:rPr>
          <w:rFonts w:ascii="宋体" w:cs="宋体" w:hint="eastAsia"/>
          <w:sz w:val="28"/>
          <w:szCs w:val="28"/>
        </w:rPr>
        <w:t>5</w:t>
      </w:r>
      <w:r>
        <w:rPr>
          <w:rFonts w:ascii="宋体" w:cs="宋体" w:hint="eastAsia"/>
          <w:bCs/>
          <w:sz w:val="28"/>
          <w:szCs w:val="28"/>
        </w:rPr>
        <w:t>.5磋商小组将按上述修正错误的方法调整响应文件中的报价，并告知供应商，调整后的价格应对供应商具有约束力。如果供应商不接受修正后的价格，则其磋商活动将被拒绝。</w:t>
      </w:r>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5.6磋商小组将允许修正响应文件中不构成重大偏离的、微小的、非正规的、不一致的或不规则的地方，但这些修改不能影响任何供应商相应的名次排列。</w:t>
      </w:r>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5.7</w:t>
      </w:r>
      <w:r>
        <w:rPr>
          <w:rFonts w:ascii="宋体" w:cs="宋体" w:hint="eastAsia"/>
          <w:sz w:val="28"/>
          <w:szCs w:val="28"/>
        </w:rPr>
        <w:t>供应商在评审全过程中应保持通讯畅通，并安排专人与采购代理机构及磋商小组联系（适用于不见面磋商模式）。</w:t>
      </w:r>
    </w:p>
    <w:p>
      <w:pPr>
        <w:tabs>
          <w:tab w:val="left" w:pos="6555"/>
          <w:tab w:val="right" w:pos="8306"/>
        </w:tabs>
        <w:adjustRightInd w:val="0"/>
        <w:snapToGrid w:val="0"/>
        <w:spacing w:line="460" w:lineRule="exact"/>
        <w:ind w:firstLineChars="200" w:firstLine="560"/>
        <w:rPr>
          <w:rFonts w:ascii="宋体" w:cs="宋体"/>
          <w:bCs/>
          <w:sz w:val="28"/>
          <w:szCs w:val="28"/>
        </w:rPr>
      </w:pPr>
      <w:r>
        <w:rPr>
          <w:rFonts w:ascii="宋体" w:cs="宋体" w:hint="eastAsia"/>
          <w:bCs/>
          <w:sz w:val="28"/>
          <w:szCs w:val="28"/>
        </w:rPr>
        <w:t>6. 被认定为未实质性响应磋商文件的响应文件的情形。</w:t>
      </w:r>
    </w:p>
    <w:p>
      <w:pPr>
        <w:tabs>
          <w:tab w:val="left" w:pos="6555"/>
          <w:tab w:val="right" w:pos="8306"/>
        </w:tabs>
        <w:adjustRightInd w:val="0"/>
        <w:snapToGrid w:val="0"/>
        <w:spacing w:line="460" w:lineRule="exact"/>
        <w:ind w:firstLineChars="200" w:firstLine="560"/>
        <w:rPr>
          <w:rFonts w:ascii="宋体" w:cs="宋体"/>
          <w:b/>
          <w:sz w:val="28"/>
          <w:szCs w:val="28"/>
        </w:rPr>
      </w:pPr>
      <w:r>
        <w:rPr>
          <w:rFonts w:ascii="宋体" w:cs="宋体" w:hint="eastAsia"/>
          <w:bCs/>
          <w:sz w:val="28"/>
          <w:szCs w:val="28"/>
        </w:rPr>
        <w:t>6.1出现下列情形之一的，作无效响应处理。</w:t>
        <w:tab/>
      </w:r>
      <w:r>
        <w:rPr>
          <w:rFonts w:ascii="宋体" w:cs="宋体" w:hint="eastAsia"/>
          <w:b/>
          <w:sz w:val="28"/>
          <w:szCs w:val="28"/>
        </w:rPr>
        <w:tab/>
      </w:r>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6.1.1供应商在规定的时间内未成功提交磋商响应文件的。</w:t>
      </w:r>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6.1.2未完整提交响应文件的。</w:t>
      </w:r>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6.1.3同一供应商提交两个（含两个）以上不同的响应报价的。</w:t>
      </w:r>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 xml:space="preserve">6.1.4不具备磋商文件中规定的资格要求的。 </w:t>
      </w:r>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 xml:space="preserve">6.1.5响应报价超过了采购预算或最高限价的。 </w:t>
      </w:r>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6.1.6未通过符合性检查的。</w:t>
      </w:r>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6.1.7不符合法律、法规和磋商文件中规定的其他实质性要求的。</w:t>
      </w:r>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6.1.8供应商被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6.1.9 响应文件含有采购人不能接受的附加条件的。</w:t>
      </w:r>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6.1.10磋商小组认为供应商的报价明显低于其他通过符合性审查供应商的报价，有可能影响产品质量或者不能诚信履约的，将要求其在合理的时间内提供说明，必要时提交相关证明材料；供应商不能证明其报价合理性的，磋商小组应当将其作为无效响应处理。</w:t>
      </w:r>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6.1.11本项目采购产品被财政部、国家发改委、生态环境部等列入“节能产品品目清单”、“环境标志产品品目清单”强制采购范围，而供应商所投标产品不在强制采购范围内的（所投产品如属于政府强制采购节能产品品目清单范围内，响应文件中必须提供国家确定的认证机构出具的、处于有效期之内的该节能产品认证证书图片）。</w:t>
      </w:r>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6.1.12响应文件未按照采购文件要求盖章、密封的。</w:t>
      </w:r>
    </w:p>
    <w:p>
      <w:pPr>
        <w:adjustRightInd w:val="0"/>
        <w:snapToGrid w:val="0"/>
        <w:spacing w:line="460" w:lineRule="exact"/>
        <w:ind w:firstLineChars="200" w:firstLine="560"/>
        <w:rPr>
          <w:rFonts w:ascii="宋体" w:cs="宋体"/>
          <w:bCs/>
          <w:sz w:val="28"/>
          <w:szCs w:val="28"/>
        </w:rPr>
      </w:pPr>
      <w:r>
        <w:rPr>
          <w:rFonts w:ascii="宋体" w:cs="宋体" w:hint="eastAsia"/>
          <w:b/>
          <w:sz w:val="28"/>
          <w:szCs w:val="28"/>
        </w:rPr>
        <w:t>注：凡是响应文件中涉及供应商资信认证、人员证书、业绩荣誉等复印件，和要求法定代表人或授权委托人签字，和以供应商名称落款并注明需要盖章的，均需相应盖章或签字。否则视为未按照采购文件要求盖章或签字。</w:t>
      </w:r>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6.1.13投标人的商务技术部分得分相差悬殊，评标委员会认为得分畸低者没有实质性响应的。</w:t>
      </w:r>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6.1.14其他法律、法规及本磋商文件规定的属无效响应的情形。</w:t>
      </w:r>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6.2出现下列情形之一的，磋商失败。</w:t>
      </w:r>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6.2.1符合条件的供应商或者对磋商文件作实质响应的供应商不足3家的（市场竞争不充分的科研项目，以及需要扶持的科技成果转化项目可以是2家）；</w:t>
      </w:r>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6.2.2出现影响采购公正的违法违规行为的；</w:t>
      </w:r>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6.2.3因重大变故，采购任务取消的。</w:t>
      </w:r>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6.2.4磋商小组认定磋商文件存在歧义、重大缺陷导致评审工作无法进行。</w:t>
      </w:r>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6.2.5 因系统故障原因造成磋商无法继续进行的</w:t>
      </w:r>
      <w:r>
        <w:rPr>
          <w:rFonts w:ascii="宋体" w:cs="宋体" w:hint="eastAsia"/>
          <w:sz w:val="28"/>
          <w:szCs w:val="28"/>
        </w:rPr>
        <w:t>（适用于不见面磋商模式）</w:t>
      </w:r>
      <w:r>
        <w:rPr>
          <w:rFonts w:ascii="宋体" w:cs="宋体" w:hint="eastAsia"/>
          <w:bCs/>
          <w:sz w:val="28"/>
          <w:szCs w:val="28"/>
        </w:rPr>
        <w:t>。</w:t>
      </w:r>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6.3 响应</w:t>
      </w:r>
      <w:r>
        <w:rPr>
          <w:rFonts w:ascii="宋体" w:cs="宋体" w:hint="eastAsia"/>
          <w:sz w:val="28"/>
          <w:szCs w:val="28"/>
        </w:rPr>
        <w:t>文件提交</w:t>
      </w:r>
      <w:r>
        <w:rPr>
          <w:rFonts w:ascii="宋体" w:cs="宋体" w:hint="eastAsia"/>
          <w:bCs/>
          <w:sz w:val="28"/>
          <w:szCs w:val="28"/>
        </w:rPr>
        <w:t>截止时间结束后参加磋商的供应商不足三家的处理：</w:t>
      </w:r>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6.3.1如出现响应</w:t>
      </w:r>
      <w:r>
        <w:rPr>
          <w:rFonts w:ascii="宋体" w:cs="宋体" w:hint="eastAsia"/>
          <w:sz w:val="28"/>
          <w:szCs w:val="28"/>
        </w:rPr>
        <w:t>文件提交</w:t>
      </w:r>
      <w:r>
        <w:rPr>
          <w:rFonts w:ascii="宋体" w:cs="宋体" w:hint="eastAsia"/>
          <w:bCs/>
          <w:sz w:val="28"/>
          <w:szCs w:val="28"/>
        </w:rPr>
        <w:t>截止时间结束后参加磋商的供应商或者在评审期间对磋商文件做出实质响应的供应商不足三家情况，除采购任务取消情形外，按照以下方式处理：</w:t>
      </w:r>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1.采购文件存在不合理条款或者招标程序不符合规定的，采购人、采购代理机构改正后依法重新招标采购；</w:t>
      </w:r>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2采购文件没有不合理条款、采购程序符合规定，需要采用其他采购人式采购的，采购人应当依法报采购监管部门批准。</w:t>
      </w:r>
    </w:p>
    <w:p>
      <w:pPr>
        <w:keepNext/>
        <w:keepLines/>
        <w:widowControl w:val="0"/>
        <w:adjustRightInd w:val="0"/>
        <w:snapToGrid w:val="0"/>
        <w:spacing w:line="460" w:lineRule="exact"/>
        <w:ind w:firstLineChars="200" w:firstLine="560"/>
        <w:outlineLvl w:val="1"/>
        <w:rPr>
          <w:rFonts w:ascii="宋体" w:cs="宋体"/>
          <w:b/>
          <w:bCs/>
          <w:kern w:val="0"/>
          <w:sz w:val="28"/>
          <w:szCs w:val="28"/>
        </w:rPr>
      </w:pPr>
      <w:bookmarkStart w:id="74" w:name="_Toc120614219"/>
      <w:bookmarkEnd w:id="71"/>
      <w:bookmarkEnd w:id="72"/>
      <w:bookmarkEnd w:id="73"/>
      <w:r>
        <w:rPr>
          <w:rFonts w:ascii="宋体" w:cs="宋体" w:hint="eastAsia"/>
          <w:b/>
          <w:bCs/>
          <w:kern w:val="0"/>
          <w:sz w:val="28"/>
          <w:szCs w:val="28"/>
        </w:rPr>
        <w:t>六</w:t>
      </w:r>
      <w:bookmarkEnd w:id="74"/>
      <w:r>
        <w:rPr>
          <w:rFonts w:ascii="宋体" w:cs="宋体" w:hint="eastAsia"/>
          <w:b/>
          <w:bCs/>
          <w:kern w:val="0"/>
          <w:sz w:val="28"/>
          <w:szCs w:val="28"/>
        </w:rPr>
        <w:t>、成交</w:t>
      </w:r>
    </w:p>
    <w:p>
      <w:pPr>
        <w:keepNext/>
        <w:widowControl w:val="0"/>
        <w:adjustRightInd w:val="0"/>
        <w:snapToGrid w:val="0"/>
        <w:spacing w:line="460" w:lineRule="exact"/>
        <w:ind w:firstLineChars="200" w:firstLine="560"/>
        <w:rPr>
          <w:rFonts w:ascii="宋体" w:cs="宋体"/>
          <w:b/>
          <w:kern w:val="0"/>
          <w:sz w:val="28"/>
          <w:szCs w:val="28"/>
        </w:rPr>
      </w:pPr>
      <w:bookmarkStart w:id="75" w:name="_Toc20823310"/>
      <w:bookmarkStart w:id="76" w:name="_Toc16938554"/>
      <w:r>
        <w:rPr>
          <w:rFonts w:ascii="宋体" w:cs="宋体" w:hint="eastAsia"/>
          <w:kern w:val="0"/>
          <w:sz w:val="28"/>
          <w:szCs w:val="28"/>
        </w:rPr>
        <w:t>1.确定</w:t>
      </w:r>
      <w:bookmarkEnd w:id="75"/>
      <w:bookmarkEnd w:id="76"/>
      <w:r>
        <w:rPr>
          <w:rFonts w:ascii="宋体" w:cs="宋体" w:hint="eastAsia"/>
          <w:kern w:val="0"/>
          <w:sz w:val="28"/>
          <w:szCs w:val="28"/>
        </w:rPr>
        <w:t>成交单位</w:t>
      </w:r>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 xml:space="preserve">1.1成交候选供应商的选取原则和数量见磋商文件第四部分规定。 </w:t>
      </w:r>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1.2 采购人授权磋商小组在成交候选供应商中直接确定成交供应商。</w:t>
      </w:r>
    </w:p>
    <w:p>
      <w:pPr>
        <w:adjustRightInd w:val="0"/>
        <w:snapToGrid w:val="0"/>
        <w:spacing w:line="460" w:lineRule="exact"/>
        <w:ind w:firstLineChars="200" w:firstLine="560"/>
        <w:rPr>
          <w:rFonts w:ascii="宋体" w:cs="宋体"/>
          <w:sz w:val="28"/>
          <w:szCs w:val="28"/>
        </w:rPr>
      </w:pPr>
      <w:r>
        <w:rPr>
          <w:rFonts w:ascii="宋体" w:cs="宋体" w:hint="eastAsia"/>
          <w:bCs/>
          <w:sz w:val="28"/>
          <w:szCs w:val="28"/>
        </w:rPr>
        <w:t xml:space="preserve">1.3 </w:t>
      </w:r>
      <w:r>
        <w:rPr>
          <w:rFonts w:ascii="宋体" w:cs="宋体" w:hint="eastAsia"/>
          <w:sz w:val="28"/>
          <w:szCs w:val="28"/>
        </w:rPr>
        <w:t>采购代理机构将在“南通市统计局网站”发布成交结果公告，公告期限为1个工作日。</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1.4若有充分证据证明，成交供应商出现下列情况之一的，一经查实，将被取消成交资格：</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1.4.1提供虚假材料谋取成交的。</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1.4.2向采购人、采购代理机构行贿或者评审专家提供其他不正当利益的。</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1.4.3恶意竞争，最终总报价明显低于其自身合理成本且又无法提供证明的。</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1.4.4属于本文件规定的无效条件，但在评审过程中又未被磋商小组发现的。</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1.4.5与采购人或者其他供应商恶意串通的。</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1.4.6采取不正当手段诋毁、排挤其他供应商的。</w:t>
      </w:r>
    </w:p>
    <w:p>
      <w:pPr>
        <w:adjustRightInd w:val="0"/>
        <w:snapToGrid w:val="0"/>
        <w:spacing w:line="460" w:lineRule="exact"/>
        <w:ind w:firstLineChars="200" w:firstLine="560"/>
        <w:rPr>
          <w:rFonts w:ascii="宋体" w:cs="宋体"/>
          <w:sz w:val="28"/>
          <w:szCs w:val="28"/>
        </w:rPr>
      </w:pPr>
      <w:bookmarkStart w:id="77" w:name="_Toc200451960"/>
      <w:r>
        <w:rPr>
          <w:rFonts w:ascii="宋体" w:cs="宋体" w:hint="eastAsia"/>
          <w:sz w:val="28"/>
          <w:szCs w:val="28"/>
        </w:rPr>
        <w:t>1.5.</w:t>
      </w:r>
      <w:r>
        <w:rPr>
          <w:rFonts w:ascii="宋体" w:cs="宋体" w:hint="eastAsia"/>
          <w:kern w:val="0"/>
          <w:sz w:val="28"/>
          <w:szCs w:val="28"/>
        </w:rPr>
        <w:t>有下列情形之一的，视为供应商串通参与磋商，响应无效：</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1.5.1不同供应商的响应文件由同一单位或者个人编制；</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1.5.2不同供应商委托同一单位或者个人办理磋商事宜；</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1.5.3不同供应商的响应文件载明的项目管理成员或者联系人员为同一人；</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1.5.4不同供应商的响应文件异常一致或者响应报价呈规律性差异。</w:t>
      </w:r>
    </w:p>
    <w:p>
      <w:pPr>
        <w:keepNext/>
        <w:widowControl w:val="0"/>
        <w:adjustRightInd w:val="0"/>
        <w:snapToGrid w:val="0"/>
        <w:spacing w:line="460" w:lineRule="exact"/>
        <w:ind w:firstLineChars="200" w:firstLine="560"/>
        <w:rPr>
          <w:rFonts w:ascii="宋体" w:cs="宋体"/>
          <w:b/>
          <w:kern w:val="0"/>
          <w:sz w:val="28"/>
          <w:szCs w:val="28"/>
        </w:rPr>
      </w:pPr>
      <w:r>
        <w:rPr>
          <w:rFonts w:ascii="宋体" w:cs="宋体" w:hint="eastAsia"/>
          <w:kern w:val="0"/>
          <w:sz w:val="28"/>
          <w:szCs w:val="28"/>
        </w:rPr>
        <w:t>2.质疑处理</w:t>
      </w:r>
      <w:bookmarkEnd w:id="77"/>
    </w:p>
    <w:p>
      <w:pPr>
        <w:adjustRightInd w:val="0"/>
        <w:snapToGrid w:val="0"/>
        <w:spacing w:line="460" w:lineRule="exact"/>
        <w:ind w:firstLineChars="200" w:firstLine="560"/>
        <w:rPr>
          <w:rFonts w:ascii="宋体" w:cs="宋体"/>
          <w:sz w:val="28"/>
          <w:szCs w:val="28"/>
        </w:rPr>
      </w:pPr>
      <w:r>
        <w:rPr>
          <w:rFonts w:ascii="宋体" w:cs="宋体" w:hint="eastAsia"/>
          <w:sz w:val="28"/>
          <w:szCs w:val="28"/>
        </w:rPr>
        <w:t>2.1 提出质疑的供应商应当是参与所质疑项目采购活动的供应商。潜在供应商依法获取其可质疑的磋商文件的，可以对磋商文件提出质疑。</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2.2供应商认为磋商文件、采购过程和采购结果使自己的权益受到损害的，可以在知道或应知其权益受到损害之日起七个工作日内，以书面形式向采购代理机构或采购人提出质疑。上述应知其权益受到损害之日，是指：</w:t>
      </w:r>
    </w:p>
    <w:p>
      <w:pPr>
        <w:adjustRightInd w:val="0"/>
        <w:snapToGrid w:val="0"/>
        <w:spacing w:line="460" w:lineRule="exact"/>
        <w:ind w:firstLineChars="200" w:firstLine="560"/>
        <w:rPr>
          <w:rFonts w:ascii="宋体" w:cs="宋体"/>
          <w:kern w:val="0"/>
          <w:sz w:val="28"/>
          <w:szCs w:val="28"/>
        </w:rPr>
      </w:pPr>
      <w:r>
        <w:rPr>
          <w:rFonts w:ascii="宋体" w:cs="宋体" w:hint="eastAsia"/>
          <w:sz w:val="28"/>
          <w:szCs w:val="28"/>
        </w:rPr>
        <w:t>2.2.1</w:t>
      </w:r>
      <w:r>
        <w:rPr>
          <w:rFonts w:ascii="宋体" w:cs="宋体" w:hint="eastAsia"/>
          <w:kern w:val="0"/>
          <w:sz w:val="28"/>
          <w:szCs w:val="28"/>
        </w:rPr>
        <w:t>对可以质疑的磋商文件提出质疑的，为收到磋商文件之日或者磋商文件公告期限届满之日；</w:t>
      </w:r>
    </w:p>
    <w:p>
      <w:pPr>
        <w:adjustRightInd w:val="0"/>
        <w:snapToGrid w:val="0"/>
        <w:spacing w:line="460" w:lineRule="exact"/>
        <w:ind w:firstLineChars="200" w:firstLine="560"/>
        <w:rPr>
          <w:rFonts w:ascii="宋体" w:cs="宋体"/>
          <w:kern w:val="0"/>
          <w:sz w:val="28"/>
          <w:szCs w:val="28"/>
        </w:rPr>
      </w:pPr>
      <w:r>
        <w:rPr>
          <w:rFonts w:ascii="宋体" w:cs="宋体" w:hint="eastAsia"/>
          <w:sz w:val="28"/>
          <w:szCs w:val="28"/>
        </w:rPr>
        <w:t>2.2.2</w:t>
      </w:r>
      <w:r>
        <w:rPr>
          <w:rFonts w:ascii="宋体" w:cs="宋体" w:hint="eastAsia"/>
          <w:kern w:val="0"/>
          <w:sz w:val="28"/>
          <w:szCs w:val="28"/>
        </w:rPr>
        <w:t>对采购过程提出质疑的，为各采购程序环节结束之日；</w:t>
      </w:r>
    </w:p>
    <w:p>
      <w:pPr>
        <w:adjustRightInd w:val="0"/>
        <w:snapToGrid w:val="0"/>
        <w:spacing w:line="460" w:lineRule="exact"/>
        <w:ind w:firstLineChars="200" w:firstLine="560"/>
        <w:rPr>
          <w:rFonts w:ascii="宋体" w:cs="宋体"/>
          <w:b/>
          <w:bCs/>
          <w:sz w:val="28"/>
          <w:szCs w:val="28"/>
        </w:rPr>
      </w:pPr>
      <w:r>
        <w:rPr>
          <w:rFonts w:ascii="宋体" w:cs="宋体" w:hint="eastAsia"/>
          <w:b/>
          <w:bCs/>
          <w:sz w:val="28"/>
          <w:szCs w:val="28"/>
        </w:rPr>
        <w:t>其中：对评审过程中涉及到的密封检查、身份核对、澄清等和程序性事项，供应商如有异议的，必须当时提出。否则，均视为供应商无异议。无论是否成交，供应商事后不得再就前述事项提出任何异议或质疑投诉。</w:t>
      </w:r>
    </w:p>
    <w:p>
      <w:pPr>
        <w:adjustRightInd w:val="0"/>
        <w:snapToGrid w:val="0"/>
        <w:spacing w:line="460" w:lineRule="exact"/>
        <w:ind w:firstLineChars="200" w:firstLine="560"/>
        <w:rPr>
          <w:rFonts w:ascii="宋体" w:cs="宋体"/>
          <w:kern w:val="0"/>
          <w:sz w:val="28"/>
          <w:szCs w:val="28"/>
        </w:rPr>
      </w:pPr>
      <w:r>
        <w:rPr>
          <w:rFonts w:ascii="宋体" w:cs="宋体" w:hint="eastAsia"/>
          <w:sz w:val="28"/>
          <w:szCs w:val="28"/>
        </w:rPr>
        <w:t>2.2.3</w:t>
      </w:r>
      <w:r>
        <w:rPr>
          <w:rFonts w:ascii="宋体" w:cs="宋体" w:hint="eastAsia"/>
          <w:kern w:val="0"/>
          <w:sz w:val="28"/>
          <w:szCs w:val="28"/>
        </w:rPr>
        <w:t>对成交结果提出质疑的，为成交结果公告期限届满之日。</w:t>
      </w:r>
    </w:p>
    <w:p>
      <w:pPr>
        <w:adjustRightInd w:val="0"/>
        <w:snapToGrid w:val="0"/>
        <w:spacing w:line="460" w:lineRule="exact"/>
        <w:ind w:firstLineChars="200" w:firstLine="560"/>
        <w:rPr>
          <w:rFonts w:ascii="宋体" w:cs="宋体"/>
          <w:kern w:val="0"/>
          <w:sz w:val="28"/>
          <w:szCs w:val="28"/>
        </w:rPr>
      </w:pPr>
      <w:r>
        <w:rPr>
          <w:rFonts w:ascii="宋体" w:cs="宋体" w:hint="eastAsia"/>
          <w:kern w:val="0"/>
          <w:sz w:val="28"/>
          <w:szCs w:val="28"/>
        </w:rPr>
        <w:t>供应商应当在法定质疑期内一次性提出针对同一采购程序环节的质疑。</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2.3质疑函必须按照本磋商文件中《质疑函范本》要求的格式和内容进行填写。供应商如组成联合体参加磋商，则《质疑函范本》中要求签字、盖章、加盖公章之处，联合体各方均须按要求签字、盖章、加盖公章。</w:t>
      </w:r>
    </w:p>
    <w:p>
      <w:pPr>
        <w:adjustRightInd w:val="0"/>
        <w:snapToGrid w:val="0"/>
        <w:spacing w:line="460" w:lineRule="exact"/>
        <w:ind w:firstLineChars="200" w:firstLine="560"/>
        <w:rPr>
          <w:rFonts w:ascii="宋体" w:cs="宋体"/>
          <w:b/>
          <w:sz w:val="28"/>
          <w:szCs w:val="28"/>
        </w:rPr>
      </w:pPr>
      <w:r>
        <w:rPr>
          <w:rFonts w:ascii="宋体" w:cs="宋体" w:hint="eastAsia"/>
          <w:sz w:val="28"/>
          <w:szCs w:val="28"/>
        </w:rPr>
        <w:t>2.4对采购方式、磋商文件中项目需求、供应商资格条件、评审方法和评审标准、资格审查结果等应当由采购人答复的质疑，请向采购人提出，由采购人负责答复。供应商对其他事项的质疑，请向采购代理机构提出，由采购代理机构负责答复。</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供应商提起质疑采取书面形式，可以现场送达，也可以邮寄。</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质疑受理部联系地址：南通市崇川路58号南通产业技术研究院9号楼10楼，联系电话：0513-55887688。</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采购人质疑接收人及联系方式，见磋商文件第一部分。</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2.5 以下情形的质疑不予受理</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2.5.1 内容不符合《政府采购质疑和投诉办法》第十二条规定的质疑。</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2.5.2 超出法定期限的质疑。</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2.5.3 未参加磋商活动的供应商或在磋商活动中自身权益未受到损害的供应商所提出的质疑。</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2.5.4供应商组成联合体参加磋商，联合体中任何一方或多方未按要求签字、盖章、加盖公章的质疑。</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2.6 供应商提出书面质疑必须有理、有据，不得捏造事实、提供虚假材料进行恶意质疑。否则，一经查实，采购代理机构有权依据有关规定，报请监管部门对该供应商进行相应的行政处罚和记录该供应商的失信信息。</w:t>
      </w:r>
    </w:p>
    <w:p>
      <w:pPr>
        <w:keepNext/>
        <w:widowControl w:val="0"/>
        <w:adjustRightInd w:val="0"/>
        <w:snapToGrid w:val="0"/>
        <w:spacing w:line="460" w:lineRule="exact"/>
        <w:ind w:firstLineChars="200" w:firstLine="560"/>
        <w:rPr>
          <w:rFonts w:ascii="宋体" w:cs="宋体"/>
          <w:b/>
          <w:kern w:val="0"/>
          <w:sz w:val="28"/>
          <w:szCs w:val="28"/>
        </w:rPr>
      </w:pPr>
      <w:r>
        <w:rPr>
          <w:rFonts w:ascii="宋体" w:cs="宋体" w:hint="eastAsia"/>
          <w:kern w:val="0"/>
          <w:sz w:val="28"/>
          <w:szCs w:val="28"/>
        </w:rPr>
        <w:t>3．成交通知书</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3.l</w:t>
      </w:r>
      <w:r>
        <w:rPr>
          <w:rFonts w:ascii="宋体" w:cs="宋体" w:hint="eastAsia"/>
          <w:b/>
          <w:sz w:val="28"/>
          <w:szCs w:val="28"/>
        </w:rPr>
        <w:t xml:space="preserve"> </w:t>
      </w:r>
      <w:r>
        <w:rPr>
          <w:rFonts w:ascii="宋体" w:cs="宋体" w:hint="eastAsia"/>
          <w:sz w:val="28"/>
          <w:szCs w:val="28"/>
        </w:rPr>
        <w:t>成交结果确定后，采购人将向成交供应商发出成交通知书。成交供应商应在成交结果公告期满后5个工作日内到采购代理机构办理领取成交通知书手续，否则，由此产生的后果供应商自负。</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3.2成交通知书将是合同的一个组成部分，对采购人和成交供应商均具有法律效力。成交通知书发出后，采购人改变成交结果的，或者成交供应商放弃磋商项目的，应当依法承担法律责任。</w:t>
      </w:r>
    </w:p>
    <w:p>
      <w:pPr>
        <w:keepNext/>
        <w:keepLines/>
        <w:widowControl w:val="0"/>
        <w:adjustRightInd w:val="0"/>
        <w:snapToGrid w:val="0"/>
        <w:spacing w:line="460" w:lineRule="exact"/>
        <w:ind w:firstLineChars="200" w:firstLine="560"/>
        <w:outlineLvl w:val="1"/>
        <w:rPr>
          <w:rFonts w:ascii="宋体" w:cs="宋体"/>
          <w:b/>
          <w:bCs/>
          <w:kern w:val="0"/>
          <w:sz w:val="28"/>
          <w:szCs w:val="28"/>
        </w:rPr>
      </w:pPr>
      <w:bookmarkStart w:id="78" w:name="_Toc120614220"/>
      <w:bookmarkStart w:id="79" w:name="_Toc16938552"/>
      <w:bookmarkStart w:id="80" w:name="_Toc513029236"/>
      <w:bookmarkStart w:id="81" w:name="_Toc20823308"/>
      <w:r>
        <w:rPr>
          <w:rFonts w:ascii="宋体" w:cs="宋体" w:hint="eastAsia"/>
          <w:b/>
          <w:bCs/>
          <w:kern w:val="0"/>
          <w:sz w:val="28"/>
          <w:szCs w:val="28"/>
        </w:rPr>
        <w:t>七、授予合同</w:t>
      </w:r>
      <w:bookmarkEnd w:id="78"/>
    </w:p>
    <w:p>
      <w:pPr>
        <w:keepNext/>
        <w:widowControl w:val="0"/>
        <w:adjustRightInd w:val="0"/>
        <w:snapToGrid w:val="0"/>
        <w:spacing w:line="460" w:lineRule="exact"/>
        <w:ind w:firstLineChars="200" w:firstLine="560"/>
        <w:rPr>
          <w:rFonts w:ascii="宋体" w:cs="宋体"/>
          <w:b/>
          <w:kern w:val="0"/>
          <w:sz w:val="28"/>
          <w:szCs w:val="28"/>
        </w:rPr>
      </w:pPr>
      <w:bookmarkStart w:id="82" w:name="_Toc20823309"/>
      <w:bookmarkStart w:id="83" w:name="_Toc513029237"/>
      <w:bookmarkStart w:id="84" w:name="_Toc16938553"/>
      <w:bookmarkEnd w:id="79"/>
      <w:bookmarkEnd w:id="80"/>
      <w:bookmarkEnd w:id="81"/>
      <w:r>
        <w:rPr>
          <w:rFonts w:ascii="宋体" w:cs="宋体" w:hint="eastAsia"/>
          <w:kern w:val="0"/>
          <w:sz w:val="28"/>
          <w:szCs w:val="28"/>
        </w:rPr>
        <w:t>1.签订合同</w:t>
      </w:r>
    </w:p>
    <w:p>
      <w:pPr>
        <w:adjustRightInd w:val="0"/>
        <w:snapToGrid w:val="0"/>
        <w:spacing w:line="460" w:lineRule="exact"/>
        <w:ind w:firstLineChars="200" w:firstLine="560"/>
        <w:rPr>
          <w:rFonts w:ascii="宋体" w:cs="宋体"/>
          <w:sz w:val="28"/>
          <w:szCs w:val="28"/>
        </w:rPr>
      </w:pPr>
      <w:r>
        <w:rPr>
          <w:rFonts w:ascii="宋体" w:cs="宋体" w:hint="eastAsia"/>
          <w:bCs/>
          <w:sz w:val="28"/>
          <w:szCs w:val="28"/>
        </w:rPr>
        <w:t>1</w:t>
      </w:r>
      <w:r>
        <w:rPr>
          <w:rFonts w:ascii="宋体" w:cs="宋体" w:hint="eastAsia"/>
          <w:sz w:val="28"/>
          <w:szCs w:val="28"/>
        </w:rPr>
        <w:t>.l成交供应商应当在成交通知书发出之日起三十日内，按照磋商文件确定的事项与采购人签订采购合同。</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1.2磋商文件、成交供应商的响应文件及磋商过程中有关澄清、承诺文件均应作为合同附件。</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1.3签订合同后，成交供应商不得将货物及其他相关服务进行转包。未经采购人同意，成交供应商也不得采用分包的形式履行合同，否则采购人有权终止合同。采购合同分包履行的，成交供应商就采购项目和分包项目向采购人负责，分包供应商就分包项目承担责任。转包或分包造成采购人损失的，成交供应商应承担相应赔偿责任。</w:t>
      </w:r>
    </w:p>
    <w:p>
      <w:pPr>
        <w:keepNext/>
        <w:widowControl w:val="0"/>
        <w:adjustRightInd w:val="0"/>
        <w:snapToGrid w:val="0"/>
        <w:spacing w:line="460" w:lineRule="exact"/>
        <w:ind w:firstLineChars="200" w:firstLine="560"/>
        <w:rPr>
          <w:rFonts w:ascii="宋体" w:cs="宋体"/>
          <w:b/>
          <w:kern w:val="0"/>
          <w:sz w:val="28"/>
          <w:szCs w:val="28"/>
        </w:rPr>
      </w:pPr>
      <w:r>
        <w:rPr>
          <w:rFonts w:ascii="宋体" w:cs="宋体" w:hint="eastAsia"/>
          <w:kern w:val="0"/>
          <w:sz w:val="28"/>
          <w:szCs w:val="28"/>
        </w:rPr>
        <w:t>2.货物和服务的追加、减少和添购。</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2.1合同履行中，采购人需追加与合同标的相同的货物和服务的，在不改变合同其他条款的前提下，可以与成交供应商协商签订补充合同，但所有补充合同的采购金额不超过原合同金额10%。</w:t>
      </w:r>
    </w:p>
    <w:p>
      <w:pPr>
        <w:keepNext/>
        <w:widowControl w:val="0"/>
        <w:adjustRightInd w:val="0"/>
        <w:snapToGrid w:val="0"/>
        <w:spacing w:line="460" w:lineRule="exact"/>
        <w:ind w:firstLineChars="200" w:firstLine="560"/>
        <w:rPr>
          <w:rFonts w:ascii="宋体" w:cs="宋体"/>
          <w:sz w:val="28"/>
          <w:szCs w:val="28"/>
        </w:rPr>
      </w:pPr>
      <w:r>
        <w:rPr>
          <w:rFonts w:ascii="宋体" w:cs="宋体" w:hint="eastAsia"/>
          <w:sz w:val="28"/>
          <w:szCs w:val="28"/>
        </w:rPr>
        <w:t>2.2采购结束后，采购人若由于各种客观原因，必须对采购项目所牵涉的货物和服务进行适当的减少时，在双方协商一致的前提下，可以按照采购时的价格水平做相应的调减，并据此签订补充合同。</w:t>
      </w:r>
    </w:p>
    <w:p>
      <w:pPr>
        <w:adjustRightInd w:val="0"/>
        <w:snapToGrid w:val="0"/>
        <w:spacing w:line="360" w:lineRule="auto"/>
        <w:ind w:firstLineChars="200" w:firstLine="560"/>
        <w:rPr>
          <w:rFonts w:ascii="宋体" w:cs="宋体"/>
          <w:b/>
          <w:sz w:val="28"/>
          <w:szCs w:val="28"/>
        </w:rPr>
      </w:pPr>
    </w:p>
    <w:p>
      <w:pPr>
        <w:rPr>
          <w:rFonts w:ascii="宋体" w:cs="宋体" w:hint="eastAsia"/>
          <w:bCs/>
          <w:sz w:val="36"/>
          <w:szCs w:val="36"/>
        </w:rPr>
      </w:pPr>
      <w:bookmarkEnd w:id="82"/>
      <w:bookmarkEnd w:id="83"/>
      <w:bookmarkEnd w:id="84"/>
      <w:r>
        <w:rPr>
          <w:rFonts w:ascii="宋体" w:cs="宋体" w:hint="eastAsia"/>
          <w:bCs/>
          <w:sz w:val="36"/>
          <w:szCs w:val="36"/>
        </w:rPr>
        <w:br w:type="page"/>
      </w:r>
    </w:p>
    <w:p>
      <w:pPr>
        <w:adjustRightInd w:val="0"/>
        <w:snapToGrid w:val="0"/>
        <w:spacing w:line="360" w:lineRule="auto"/>
        <w:jc w:val="center"/>
        <w:outlineLvl w:val="0"/>
        <w:rPr>
          <w:rFonts w:ascii="宋体" w:cs="宋体"/>
          <w:sz w:val="28"/>
          <w:szCs w:val="28"/>
        </w:rPr>
      </w:pPr>
      <w:r>
        <w:rPr>
          <w:rFonts w:ascii="宋体" w:cs="宋体" w:hint="eastAsia"/>
          <w:bCs/>
          <w:sz w:val="36"/>
          <w:szCs w:val="36"/>
        </w:rPr>
        <w:t>第三部分 项目需求</w:t>
      </w:r>
    </w:p>
    <w:p>
      <w:pPr>
        <w:adjustRightInd w:val="0"/>
        <w:snapToGrid w:val="0"/>
        <w:spacing w:line="460" w:lineRule="exact"/>
        <w:ind w:firstLineChars="200" w:firstLine="560"/>
        <w:rPr>
          <w:rFonts w:ascii="宋体" w:cs="宋体"/>
          <w:b/>
          <w:bCs/>
          <w:sz w:val="28"/>
          <w:szCs w:val="28"/>
        </w:rPr>
      </w:pPr>
      <w:r>
        <w:rPr>
          <w:rFonts w:ascii="宋体" w:cs="宋体" w:hint="eastAsia"/>
          <w:b/>
          <w:bCs/>
          <w:sz w:val="28"/>
          <w:szCs w:val="28"/>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pPr>
        <w:spacing w:line="460" w:lineRule="exact"/>
        <w:ind w:firstLineChars="200" w:firstLine="560"/>
        <w:outlineLvl w:val="1"/>
        <w:rPr>
          <w:rFonts w:ascii="宋体" w:cs="宋体"/>
          <w:b/>
          <w:bCs/>
          <w:sz w:val="28"/>
          <w:szCs w:val="28"/>
        </w:rPr>
      </w:pPr>
      <w:r>
        <w:rPr>
          <w:rFonts w:ascii="宋体" w:cs="宋体" w:hint="eastAsia"/>
          <w:b/>
          <w:sz w:val="28"/>
          <w:szCs w:val="28"/>
        </w:rPr>
        <w:t>一、项目背景：</w:t>
      </w:r>
    </w:p>
    <w:p>
      <w:pPr>
        <w:spacing w:line="460" w:lineRule="exact"/>
        <w:ind w:firstLineChars="200" w:firstLine="560"/>
        <w:rPr>
          <w:rFonts w:ascii="宋体" w:cs="宋体"/>
          <w:sz w:val="28"/>
          <w:szCs w:val="28"/>
        </w:rPr>
      </w:pPr>
      <w:r>
        <w:rPr>
          <w:rFonts w:ascii="宋体" w:cs="宋体" w:hint="eastAsia"/>
          <w:sz w:val="28"/>
          <w:szCs w:val="28"/>
        </w:rPr>
        <w:t>南通市统计局视频会议系统建于2016年，于2019年中期已经过质保期，随着设备的服役时间不断增加故障也陆续出现，使整个系统的使用风险也不断加大，为确保整个系统能够稳定持续运营，拟对现有视频会议系统购买维保服务。</w:t>
      </w:r>
    </w:p>
    <w:p>
      <w:pPr>
        <w:spacing w:line="460" w:lineRule="exact"/>
        <w:ind w:firstLineChars="200" w:firstLine="560"/>
        <w:rPr>
          <w:rFonts w:ascii="宋体" w:cs="宋体"/>
          <w:sz w:val="28"/>
          <w:szCs w:val="28"/>
        </w:rPr>
      </w:pPr>
      <w:r>
        <w:rPr>
          <w:rFonts w:ascii="宋体" w:cs="宋体" w:hint="eastAsia"/>
          <w:sz w:val="28"/>
          <w:szCs w:val="28"/>
        </w:rPr>
        <w:t>维保服务目标</w:t>
      </w:r>
    </w:p>
    <w:p>
      <w:pPr>
        <w:spacing w:line="460" w:lineRule="exact"/>
        <w:ind w:firstLineChars="200" w:firstLine="560"/>
        <w:rPr>
          <w:rFonts w:ascii="宋体" w:cs="宋体"/>
          <w:sz w:val="28"/>
          <w:szCs w:val="28"/>
        </w:rPr>
      </w:pPr>
      <w:r>
        <w:rPr>
          <w:rFonts w:ascii="宋体" w:cs="宋体" w:hint="eastAsia"/>
          <w:sz w:val="28"/>
          <w:szCs w:val="28"/>
        </w:rPr>
        <w:t xml:space="preserve">对南通市统计局视频会议设备提供整体运维服务，其中设备维护服务包含南通市统计局目前在用设备RMX1800一台、RSS4000一台、HDX8000一套、M16一套。支撑保障服务包含重要会议现场服务、技术巡检服务、故障响应服务、应急演练服务、电话支持服务，保证视频会议系统稳定、安全、正常的使用、保证上下级系统服务一致。 </w:t>
      </w:r>
    </w:p>
    <w:p>
      <w:pPr>
        <w:pStyle w:val="21"/>
        <w:ind w:firstLineChars="100" w:firstLine="280"/>
      </w:pPr>
      <w:r>
        <w:rPr>
          <w:rFonts w:hint="eastAsia"/>
        </w:rPr>
        <w:t>南通市视频会议系统拓补图</w:t>
      </w:r>
    </w:p>
    <w:p>
      <w:pPr>
        <w:pStyle w:val="21"/>
        <w:ind w:firstLine="560"/>
      </w:pPr>
    </w:p>
    <w:p>
      <w:pPr>
        <w:pStyle w:val="21"/>
        <w:ind w:firstLine="560"/>
      </w:pPr>
    </w:p>
    <w:p>
      <w:pPr>
        <w:pStyle w:val="21"/>
        <w:ind w:firstLine="560"/>
      </w:pPr>
    </w:p>
    <w:p>
      <w:pPr>
        <w:pStyle w:val="21"/>
        <w:ind w:firstLine="560"/>
      </w:pPr>
    </w:p>
    <w:p>
      <w:pPr>
        <w:pStyle w:val="21"/>
        <w:ind w:firstLine="560"/>
      </w:pPr>
    </w:p>
    <w:p>
      <w:pPr>
        <w:pStyle w:val="21"/>
      </w:pPr>
    </w:p>
    <w:p>
      <w:pPr>
        <w:pStyle w:val="21"/>
        <w:ind w:firstLine="560"/>
      </w:pPr>
    </w:p>
    <w:p>
      <w:pPr>
        <w:pStyle w:val="21"/>
        <w:ind w:firstLine="560"/>
      </w:pPr>
    </w:p>
    <w:p>
      <w:pPr>
        <w:pStyle w:val="21"/>
        <w:ind w:firstLine="560"/>
      </w:pPr>
    </w:p>
    <w:p>
      <w:pPr>
        <w:pStyle w:val="21"/>
        <w:ind w:firstLine="560"/>
      </w:pPr>
    </w:p>
    <w:p>
      <w:pPr>
        <w:pStyle w:val="21"/>
        <w:ind w:firstLine="560"/>
      </w:pPr>
    </w:p>
    <w:p>
      <w:pPr>
        <w:pStyle w:val="21"/>
        <w:ind w:firstLine="560"/>
      </w:pPr>
    </w:p>
    <w:p>
      <w:pPr>
        <w:pStyle w:val="21"/>
        <w:ind w:firstLine="560"/>
      </w:pPr>
      <w:r>
        <w:drawing>
          <wp:anchor distT="0" distB="0" distL="114300" distR="114300" simplePos="0" relativeHeight="13" behindDoc="0" locked="0" layoutInCell="1" hidden="0" allowOverlap="1">
            <wp:simplePos x="0" y="0"/>
            <wp:positionH relativeFrom="column">
              <wp:posOffset>365124</wp:posOffset>
            </wp:positionH>
            <wp:positionV relativeFrom="paragraph">
              <wp:posOffset>-438150</wp:posOffset>
            </wp:positionV>
            <wp:extent cx="3952874" cy="2637790"/>
            <wp:effectExtent l="0" t="0" r="0" b="0"/>
            <wp:wrapSquare wrapText="bothSides"/>
            <wp:docPr id="4" name="图片 7"/>
            <wp:cNvGraphicFramePr>
              <a:graphicFrameLocks noChangeAspect="1"/>
            </wp:cNvGraphicFramePr>
            <a:graphic>
              <a:graphicData uri="http://schemas.openxmlformats.org/drawingml/2006/picture">
                <pic:pic>
                  <pic:nvPicPr>
                    <pic:cNvPr id="6" name="图片 7 6"/>
                    <pic:cNvPicPr/>
                  </pic:nvPicPr>
                  <pic:blipFill>
                    <a:blip r:embed="rId6"/>
                    <a:stretch>
                      <a:fillRect/>
                    </a:stretch>
                  </pic:blipFill>
                  <pic:spPr>
                    <a:xfrm rot="0">
                      <a:off x="0" y="0"/>
                      <a:ext cx="3952874" cy="2637790"/>
                    </a:xfrm>
                    <a:prstGeom prst="rect"/>
                    <a:noFill/>
                    <a:ln w="9525" cmpd="sng" cap="flat">
                      <a:noFill/>
                      <a:prstDash val="solid"/>
                      <a:round/>
                    </a:ln>
                  </pic:spPr>
                </pic:pic>
              </a:graphicData>
            </a:graphic>
          </wp:anchor>
        </w:drawing>
      </w:r>
    </w:p>
    <w:p>
      <w:pPr>
        <w:pStyle w:val="21"/>
        <w:ind w:firstLine="560"/>
      </w:pPr>
    </w:p>
    <w:p>
      <w:pPr>
        <w:pStyle w:val="21"/>
        <w:ind w:firstLine="560"/>
      </w:pPr>
    </w:p>
    <w:p>
      <w:pPr>
        <w:pStyle w:val="21"/>
        <w:ind w:firstLine="560"/>
      </w:pPr>
    </w:p>
    <w:p>
      <w:pPr>
        <w:spacing w:line="460" w:lineRule="exact"/>
        <w:ind w:firstLineChars="200" w:firstLine="560"/>
        <w:outlineLvl w:val="1"/>
        <w:rPr>
          <w:rFonts w:ascii="宋体" w:cs="宋体" w:hint="eastAsia"/>
          <w:b/>
          <w:sz w:val="28"/>
          <w:szCs w:val="28"/>
        </w:rPr>
      </w:pPr>
    </w:p>
    <w:p>
      <w:pPr>
        <w:spacing w:line="460" w:lineRule="exact"/>
        <w:ind w:firstLineChars="200" w:firstLine="560"/>
        <w:outlineLvl w:val="1"/>
        <w:rPr>
          <w:rFonts w:ascii="宋体" w:cs="宋体" w:hint="eastAsia"/>
          <w:b/>
          <w:sz w:val="28"/>
          <w:szCs w:val="28"/>
        </w:rPr>
      </w:pPr>
    </w:p>
    <w:p>
      <w:pPr>
        <w:spacing w:line="460" w:lineRule="exact"/>
        <w:ind w:firstLineChars="200" w:firstLine="560"/>
        <w:outlineLvl w:val="1"/>
        <w:rPr>
          <w:rFonts w:ascii="宋体" w:cs="宋体" w:hint="eastAsia"/>
          <w:b/>
          <w:sz w:val="28"/>
          <w:szCs w:val="28"/>
        </w:rPr>
      </w:pPr>
    </w:p>
    <w:p>
      <w:pPr>
        <w:spacing w:line="460" w:lineRule="exact"/>
        <w:ind w:firstLineChars="200" w:firstLine="560"/>
        <w:outlineLvl w:val="1"/>
        <w:rPr>
          <w:rFonts w:ascii="宋体" w:cs="宋体" w:hint="eastAsia"/>
          <w:b/>
          <w:sz w:val="28"/>
          <w:szCs w:val="28"/>
        </w:rPr>
      </w:pPr>
    </w:p>
    <w:p>
      <w:pPr>
        <w:spacing w:line="460" w:lineRule="exact"/>
        <w:ind w:firstLineChars="200" w:firstLine="560"/>
        <w:outlineLvl w:val="1"/>
        <w:rPr>
          <w:rFonts w:ascii="宋体" w:cs="宋体" w:hint="eastAsia"/>
          <w:b/>
          <w:sz w:val="28"/>
          <w:szCs w:val="28"/>
        </w:rPr>
      </w:pPr>
    </w:p>
    <w:p>
      <w:pPr>
        <w:spacing w:line="460" w:lineRule="exact"/>
        <w:ind w:firstLineChars="200" w:firstLine="560"/>
        <w:outlineLvl w:val="1"/>
        <w:rPr>
          <w:rFonts w:ascii="宋体" w:cs="宋体"/>
          <w:b/>
          <w:sz w:val="28"/>
          <w:szCs w:val="28"/>
        </w:rPr>
      </w:pPr>
      <w:r>
        <w:rPr>
          <w:rFonts w:ascii="宋体" w:cs="宋体" w:hint="eastAsia"/>
          <w:b/>
          <w:sz w:val="28"/>
          <w:szCs w:val="28"/>
        </w:rPr>
        <w:t>二、维保服务清单：</w:t>
      </w:r>
    </w:p>
    <w:tbl>
      <w:tblPr>
        <w:jc w:val="left"/>
        <w:tblInd w:w="96" w:type="dxa"/>
        <w:tblW w:w="8424"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919"/>
        <w:gridCol w:w="2231"/>
        <w:gridCol w:w="730"/>
        <w:gridCol w:w="1250"/>
        <w:gridCol w:w="3294"/>
      </w:tblGrid>
      <w:tr>
        <w:trPr>
          <w:trHeight w:val="357"/>
        </w:trPr>
        <w:tc>
          <w:tcPr>
            <w:tcW w:w="919" w:type="dxa"/>
            <w:tcBorders>
              <w:top w:val="single" w:sz="4" w:space="0" w:color="000000"/>
              <w:left w:val="single" w:sz="4" w:space="0" w:color="000000"/>
              <w:bottom w:val="single" w:sz="4" w:space="0" w:color="000000"/>
              <w:right w:val="single" w:sz="4" w:space="0" w:color="000000"/>
            </w:tcBorders>
            <w:noWrap/>
            <w:vAlign w:val="center"/>
          </w:tcPr>
          <w:p>
            <w:pPr>
              <w:widowControl/>
              <w:spacing w:line="460" w:lineRule="exact"/>
              <w:jc w:val="center"/>
              <w:textAlignment w:val="center"/>
              <w:rPr>
                <w:rFonts w:ascii="宋体" w:cs="宋体"/>
                <w:b/>
                <w:bCs/>
                <w:sz w:val="24"/>
              </w:rPr>
            </w:pPr>
            <w:r>
              <w:rPr>
                <w:rFonts w:ascii="宋体" w:cs="宋体" w:hint="eastAsia"/>
                <w:b/>
                <w:bCs/>
                <w:kern w:val="0"/>
                <w:sz w:val="24"/>
              </w:rPr>
              <w:t>序号</w:t>
            </w:r>
          </w:p>
        </w:tc>
        <w:tc>
          <w:tcPr>
            <w:tcW w:w="2231" w:type="dxa"/>
            <w:tcBorders>
              <w:top w:val="single" w:sz="4" w:space="0" w:color="000000"/>
              <w:left w:val="single" w:sz="4" w:space="0" w:color="000000"/>
              <w:bottom w:val="single" w:sz="4" w:space="0" w:color="000000"/>
              <w:right w:val="single" w:sz="4" w:space="0" w:color="000000"/>
            </w:tcBorders>
            <w:noWrap/>
            <w:vAlign w:val="center"/>
          </w:tcPr>
          <w:p>
            <w:pPr>
              <w:widowControl/>
              <w:spacing w:line="460" w:lineRule="exact"/>
              <w:jc w:val="center"/>
              <w:textAlignment w:val="center"/>
              <w:rPr>
                <w:rFonts w:ascii="宋体" w:cs="宋体"/>
                <w:b/>
                <w:bCs/>
                <w:sz w:val="24"/>
              </w:rPr>
            </w:pPr>
            <w:r>
              <w:rPr>
                <w:rFonts w:ascii="宋体" w:cs="宋体" w:hint="eastAsia"/>
                <w:b/>
                <w:bCs/>
                <w:kern w:val="0"/>
                <w:sz w:val="24"/>
              </w:rPr>
              <w:t>服务类型</w:t>
            </w:r>
          </w:p>
        </w:tc>
        <w:tc>
          <w:tcPr>
            <w:tcW w:w="730" w:type="dxa"/>
            <w:tcBorders>
              <w:top w:val="single" w:sz="4" w:space="0" w:color="000000"/>
              <w:left w:val="single" w:sz="4" w:space="0" w:color="000000"/>
              <w:bottom w:val="single" w:sz="4" w:space="0" w:color="000000"/>
              <w:right w:val="single" w:sz="4" w:space="0" w:color="000000"/>
            </w:tcBorders>
            <w:noWrap/>
            <w:vAlign w:val="center"/>
          </w:tcPr>
          <w:p>
            <w:pPr>
              <w:widowControl/>
              <w:spacing w:line="460" w:lineRule="exact"/>
              <w:jc w:val="center"/>
              <w:textAlignment w:val="center"/>
              <w:rPr>
                <w:rFonts w:ascii="宋体" w:cs="宋体"/>
                <w:b/>
                <w:bCs/>
                <w:sz w:val="24"/>
              </w:rPr>
            </w:pPr>
            <w:r>
              <w:rPr>
                <w:rFonts w:ascii="宋体" w:cs="宋体" w:hint="eastAsia"/>
                <w:b/>
                <w:bCs/>
                <w:kern w:val="0"/>
                <w:sz w:val="24"/>
              </w:rPr>
              <w:t>数量</w:t>
            </w:r>
          </w:p>
        </w:tc>
        <w:tc>
          <w:tcPr>
            <w:tcW w:w="1250" w:type="dxa"/>
            <w:tcBorders>
              <w:top w:val="single" w:sz="4" w:space="0" w:color="000000"/>
              <w:left w:val="single" w:sz="4" w:space="0" w:color="000000"/>
              <w:bottom w:val="single" w:sz="4" w:space="0" w:color="000000"/>
              <w:right w:val="single" w:sz="4" w:space="0" w:color="000000"/>
            </w:tcBorders>
            <w:noWrap/>
            <w:vAlign w:val="center"/>
          </w:tcPr>
          <w:p>
            <w:pPr>
              <w:widowControl/>
              <w:spacing w:line="460" w:lineRule="exact"/>
              <w:jc w:val="center"/>
              <w:textAlignment w:val="center"/>
              <w:rPr>
                <w:rFonts w:ascii="宋体" w:cs="宋体"/>
                <w:b/>
                <w:bCs/>
                <w:sz w:val="24"/>
              </w:rPr>
            </w:pPr>
            <w:r>
              <w:rPr>
                <w:rFonts w:ascii="宋体" w:cs="宋体" w:hint="eastAsia"/>
                <w:b/>
                <w:bCs/>
                <w:kern w:val="0"/>
                <w:sz w:val="24"/>
              </w:rPr>
              <w:t>服务年限</w:t>
            </w:r>
          </w:p>
        </w:tc>
        <w:tc>
          <w:tcPr>
            <w:tcW w:w="3294" w:type="dxa"/>
            <w:tcBorders>
              <w:top w:val="single" w:sz="4" w:space="0" w:color="000000"/>
              <w:left w:val="single" w:sz="4" w:space="0" w:color="000000"/>
              <w:bottom w:val="single" w:sz="4" w:space="0" w:color="000000"/>
              <w:right w:val="single" w:sz="4" w:space="0" w:color="000000"/>
            </w:tcBorders>
            <w:noWrap/>
            <w:vAlign w:val="center"/>
          </w:tcPr>
          <w:p>
            <w:pPr>
              <w:widowControl/>
              <w:spacing w:line="460" w:lineRule="exact"/>
              <w:jc w:val="center"/>
              <w:textAlignment w:val="center"/>
              <w:rPr>
                <w:rFonts w:ascii="宋体" w:cs="宋体"/>
                <w:b/>
                <w:bCs/>
                <w:kern w:val="0"/>
                <w:sz w:val="24"/>
              </w:rPr>
            </w:pPr>
            <w:r>
              <w:rPr>
                <w:rFonts w:ascii="宋体" w:cs="宋体" w:hint="eastAsia"/>
                <w:b/>
                <w:bCs/>
                <w:kern w:val="0"/>
                <w:sz w:val="24"/>
              </w:rPr>
              <w:t>备注</w:t>
            </w:r>
          </w:p>
        </w:tc>
      </w:tr>
      <w:tr>
        <w:trPr>
          <w:trHeight w:val="456"/>
        </w:trPr>
        <w:tc>
          <w:tcPr>
            <w:tcW w:w="919" w:type="dxa"/>
            <w:tcBorders>
              <w:top w:val="single" w:sz="4" w:space="0" w:color="000000"/>
              <w:left w:val="single" w:sz="4" w:space="0" w:color="000000"/>
              <w:bottom w:val="single" w:sz="4" w:space="0" w:color="000000"/>
              <w:right w:val="single" w:sz="4" w:space="0" w:color="000000"/>
            </w:tcBorders>
            <w:noWrap/>
            <w:vAlign w:val="center"/>
          </w:tcPr>
          <w:p>
            <w:pPr>
              <w:widowControl/>
              <w:spacing w:line="460" w:lineRule="exact"/>
              <w:jc w:val="center"/>
              <w:textAlignment w:val="center"/>
              <w:rPr>
                <w:rFonts w:ascii="宋体" w:cs="宋体"/>
                <w:sz w:val="24"/>
              </w:rPr>
            </w:pPr>
            <w:r>
              <w:rPr>
                <w:rFonts w:ascii="宋体" w:cs="宋体" w:hint="eastAsia"/>
                <w:kern w:val="0"/>
                <w:sz w:val="24"/>
              </w:rPr>
              <w:t>1</w:t>
            </w:r>
          </w:p>
        </w:tc>
        <w:tc>
          <w:tcPr>
            <w:tcW w:w="2231" w:type="dxa"/>
            <w:tcBorders>
              <w:top w:val="single" w:sz="4" w:space="0" w:color="000000"/>
              <w:left w:val="single" w:sz="4" w:space="0" w:color="000000"/>
              <w:bottom w:val="single" w:sz="4" w:space="0" w:color="000000"/>
              <w:right w:val="single" w:sz="4" w:space="0" w:color="000000"/>
            </w:tcBorders>
            <w:noWrap/>
            <w:vAlign w:val="center"/>
          </w:tcPr>
          <w:p>
            <w:pPr>
              <w:widowControl/>
              <w:spacing w:line="460" w:lineRule="exact"/>
              <w:jc w:val="left"/>
              <w:textAlignment w:val="center"/>
              <w:rPr>
                <w:rFonts w:ascii="宋体" w:cs="宋体"/>
                <w:sz w:val="24"/>
              </w:rPr>
            </w:pPr>
            <w:r>
              <w:rPr>
                <w:rFonts w:ascii="宋体" w:cs="宋体" w:hint="eastAsia"/>
                <w:kern w:val="0"/>
                <w:sz w:val="24"/>
              </w:rPr>
              <w:t>全市视频会议核心平台信创维护</w:t>
            </w:r>
          </w:p>
        </w:tc>
        <w:tc>
          <w:tcPr>
            <w:tcW w:w="730" w:type="dxa"/>
            <w:tcBorders>
              <w:top w:val="single" w:sz="4" w:space="0" w:color="000000"/>
              <w:left w:val="single" w:sz="4" w:space="0" w:color="000000"/>
              <w:bottom w:val="single" w:sz="4" w:space="0" w:color="000000"/>
              <w:right w:val="single" w:sz="4" w:space="0" w:color="000000"/>
            </w:tcBorders>
            <w:noWrap/>
            <w:vAlign w:val="center"/>
          </w:tcPr>
          <w:p>
            <w:pPr>
              <w:widowControl/>
              <w:spacing w:line="460" w:lineRule="exact"/>
              <w:jc w:val="left"/>
              <w:textAlignment w:val="center"/>
              <w:rPr>
                <w:rFonts w:ascii="宋体" w:cs="宋体"/>
                <w:sz w:val="24"/>
              </w:rPr>
            </w:pPr>
            <w:r>
              <w:rPr>
                <w:rFonts w:ascii="宋体" w:cs="宋体" w:hint="eastAsia"/>
                <w:sz w:val="24"/>
              </w:rPr>
              <w:t>1项</w:t>
            </w:r>
          </w:p>
        </w:tc>
        <w:tc>
          <w:tcPr>
            <w:tcW w:w="1250" w:type="dxa"/>
            <w:tcBorders>
              <w:top w:val="single" w:sz="4" w:space="0" w:color="000000"/>
              <w:left w:val="single" w:sz="4" w:space="0" w:color="000000"/>
              <w:bottom w:val="single" w:sz="4" w:space="0" w:color="000000"/>
              <w:right w:val="single" w:sz="4" w:space="0" w:color="000000"/>
            </w:tcBorders>
            <w:noWrap/>
            <w:vAlign w:val="center"/>
          </w:tcPr>
          <w:p>
            <w:pPr>
              <w:widowControl/>
              <w:spacing w:line="460" w:lineRule="exact"/>
              <w:jc w:val="center"/>
              <w:textAlignment w:val="center"/>
              <w:rPr>
                <w:rFonts w:ascii="宋体" w:cs="宋体"/>
                <w:sz w:val="24"/>
              </w:rPr>
            </w:pPr>
            <w:r>
              <w:rPr>
                <w:rFonts w:ascii="宋体" w:cs="宋体" w:hint="eastAsia"/>
                <w:color w:val="auto"/>
                <w:kern w:val="0"/>
                <w:sz w:val="24"/>
                <w:highlight w:val="auto"/>
              </w:rPr>
              <w:t>一年</w:t>
            </w:r>
          </w:p>
        </w:tc>
        <w:tc>
          <w:tcPr>
            <w:tcW w:w="3294" w:type="dxa"/>
            <w:tcBorders>
              <w:top w:val="single" w:sz="4" w:space="0" w:color="000000"/>
              <w:left w:val="single" w:sz="4" w:space="0" w:color="000000"/>
              <w:bottom w:val="single" w:sz="4" w:space="0" w:color="000000"/>
              <w:right w:val="single" w:sz="4" w:space="0" w:color="000000"/>
            </w:tcBorders>
            <w:noWrap/>
            <w:vAlign w:val="center"/>
          </w:tcPr>
          <w:p>
            <w:pPr>
              <w:widowControl/>
              <w:spacing w:line="460" w:lineRule="exact"/>
              <w:textAlignment w:val="center"/>
              <w:rPr>
                <w:rFonts w:ascii="宋体" w:cs="宋体"/>
                <w:kern w:val="0"/>
                <w:sz w:val="24"/>
              </w:rPr>
            </w:pPr>
            <w:r>
              <w:rPr>
                <w:rFonts w:ascii="宋体" w:cs="宋体" w:hint="eastAsia"/>
                <w:kern w:val="0"/>
                <w:sz w:val="24"/>
              </w:rPr>
              <w:t>平台维护后需支持信创部署，需和省统计局现有视讯系统无缝对接，并能接受省局视讯管理平台统一管理调度，需包含视频会议录制模块，需具备全市县区稳定的高清接入能力。</w:t>
            </w:r>
          </w:p>
        </w:tc>
      </w:tr>
    </w:tbl>
    <w:p>
      <w:pPr>
        <w:spacing w:line="460" w:lineRule="exact"/>
        <w:ind w:firstLineChars="200" w:firstLine="560"/>
        <w:outlineLvl w:val="1"/>
        <w:rPr>
          <w:rFonts w:ascii="宋体" w:cs="宋体"/>
          <w:b/>
          <w:sz w:val="28"/>
          <w:szCs w:val="28"/>
        </w:rPr>
      </w:pPr>
      <w:r>
        <w:rPr>
          <w:rFonts w:ascii="宋体" w:cs="宋体" w:hint="eastAsia"/>
          <w:b/>
          <w:sz w:val="28"/>
          <w:szCs w:val="28"/>
        </w:rPr>
        <w:t>三、服务内容及要求：</w:t>
      </w:r>
    </w:p>
    <w:p>
      <w:pPr>
        <w:spacing w:line="460" w:lineRule="exact"/>
        <w:ind w:firstLineChars="200" w:firstLine="560"/>
        <w:rPr>
          <w:rFonts w:ascii="宋体" w:cs="宋体"/>
          <w:sz w:val="28"/>
          <w:szCs w:val="28"/>
        </w:rPr>
      </w:pPr>
      <w:r>
        <w:rPr>
          <w:rFonts w:ascii="宋体" w:cs="宋体" w:hint="eastAsia"/>
          <w:sz w:val="28"/>
          <w:szCs w:val="28"/>
        </w:rPr>
        <w:t>供应商需要向采购人提供至少以下服务：</w:t>
      </w:r>
    </w:p>
    <w:p>
      <w:pPr>
        <w:spacing w:line="460" w:lineRule="exact"/>
        <w:ind w:firstLineChars="200" w:firstLine="560"/>
        <w:rPr>
          <w:rFonts w:ascii="宋体" w:cs="宋体"/>
          <w:b/>
          <w:bCs/>
          <w:sz w:val="28"/>
          <w:szCs w:val="28"/>
        </w:rPr>
      </w:pPr>
      <w:r>
        <w:rPr>
          <w:rFonts w:ascii="宋体" w:cs="宋体" w:hint="eastAsia"/>
          <w:b/>
          <w:bCs/>
          <w:sz w:val="28"/>
          <w:szCs w:val="28"/>
        </w:rPr>
        <w:t>（一）全市视频会议核心平台信创维护</w:t>
      </w:r>
    </w:p>
    <w:p>
      <w:pPr>
        <w:spacing w:line="460" w:lineRule="exact"/>
        <w:ind w:firstLineChars="200" w:firstLine="560"/>
        <w:rPr>
          <w:rFonts w:ascii="宋体" w:cs="宋体"/>
          <w:sz w:val="28"/>
          <w:szCs w:val="28"/>
        </w:rPr>
      </w:pPr>
      <w:r>
        <w:rPr>
          <w:rFonts w:ascii="宋体" w:cs="宋体" w:hint="eastAsia"/>
          <w:sz w:val="28"/>
          <w:szCs w:val="28"/>
        </w:rPr>
        <w:t>供应商应该根据上述维保服务清单中内容提供核心平台维保以及大版本的升级</w:t>
      </w:r>
    </w:p>
    <w:p>
      <w:pPr>
        <w:spacing w:line="460" w:lineRule="exact"/>
        <w:ind w:firstLineChars="200" w:firstLine="560"/>
        <w:rPr>
          <w:rFonts w:ascii="宋体" w:cs="宋体"/>
          <w:b/>
          <w:bCs/>
          <w:color w:val="FF0000"/>
          <w:sz w:val="28"/>
          <w:szCs w:val="28"/>
        </w:rPr>
      </w:pPr>
      <w:r>
        <w:rPr>
          <w:rFonts w:ascii="宋体" w:cs="宋体" w:hint="eastAsia"/>
          <w:b/>
          <w:bCs/>
          <w:sz w:val="28"/>
          <w:szCs w:val="28"/>
        </w:rPr>
        <w:t>全市视频会议核心平台信创维护需达到以下要求：</w:t>
      </w:r>
    </w:p>
    <w:p>
      <w:pPr>
        <w:numPr>
          <w:ilvl w:val="0"/>
          <w:numId w:val="1"/>
        </w:numPr>
        <w:spacing w:line="460" w:lineRule="exact"/>
        <w:ind w:left="0" w:firstLineChars="200" w:firstLine="560"/>
        <w:jc w:val="left"/>
        <w:rPr>
          <w:rFonts w:ascii="宋体" w:cs="宋体"/>
          <w:sz w:val="28"/>
          <w:szCs w:val="28"/>
        </w:rPr>
      </w:pPr>
      <w:r>
        <w:rPr>
          <w:rFonts w:ascii="宋体" w:cs="宋体" w:hint="eastAsia"/>
          <w:sz w:val="28"/>
          <w:szCs w:val="28"/>
        </w:rPr>
        <w:t>★需和江苏省统计局现有平台（江苏省统计局现有视频会议系统：中创UCM）保持一致，保证系统兼容对接，并可接受省局会管系统统一管理。</w:t>
      </w:r>
    </w:p>
    <w:p>
      <w:pPr>
        <w:numPr>
          <w:ilvl w:val="0"/>
          <w:numId w:val="1"/>
        </w:numPr>
        <w:spacing w:line="460" w:lineRule="exact"/>
        <w:ind w:left="0" w:firstLineChars="200" w:firstLine="560"/>
        <w:jc w:val="left"/>
        <w:rPr>
          <w:rFonts w:ascii="宋体" w:cs="宋体"/>
          <w:color w:val="000000"/>
          <w:sz w:val="28"/>
          <w:szCs w:val="28"/>
        </w:rPr>
      </w:pPr>
      <w:r>
        <w:rPr>
          <w:rFonts w:ascii="宋体" w:cs="宋体" w:hint="eastAsia"/>
          <w:color w:val="000000"/>
          <w:sz w:val="28"/>
          <w:szCs w:val="28"/>
        </w:rPr>
        <w:t>▲支持采用主流Docker和Kubernetes（K8s）容器应用技术，实现多功能组件模块化设计，提供更灵活、简易和便捷的虚拟化云部署（</w:t>
      </w:r>
      <w:r>
        <w:rPr>
          <w:rFonts w:ascii="宋体" w:cs="宋体" w:hint="eastAsia"/>
          <w:b/>
          <w:bCs/>
          <w:color w:val="000000"/>
          <w:sz w:val="28"/>
          <w:szCs w:val="28"/>
        </w:rPr>
        <w:t>投标时</w:t>
      </w:r>
      <w:r>
        <w:rPr>
          <w:rFonts w:ascii="宋体" w:cs="宋体" w:hint="eastAsia"/>
          <w:b/>
          <w:bCs/>
          <w:color w:val="auto"/>
          <w:sz w:val="28"/>
          <w:szCs w:val="28"/>
        </w:rPr>
        <w:t>提供国家权威部门认可的第三方检测机构出</w:t>
      </w:r>
      <w:r>
        <w:rPr>
          <w:rFonts w:ascii="宋体" w:cs="宋体" w:hint="eastAsia"/>
          <w:b/>
          <w:bCs/>
          <w:color w:val="000000"/>
          <w:sz w:val="28"/>
          <w:szCs w:val="28"/>
        </w:rPr>
        <w:t>具的检测报告复印件加盖供应商公章。</w:t>
      </w:r>
      <w:r>
        <w:rPr>
          <w:rFonts w:ascii="宋体" w:cs="宋体" w:hint="eastAsia"/>
          <w:color w:val="000000"/>
          <w:sz w:val="28"/>
          <w:szCs w:val="28"/>
        </w:rPr>
        <w:t>）</w:t>
      </w:r>
    </w:p>
    <w:p>
      <w:pPr>
        <w:numPr>
          <w:ilvl w:val="0"/>
          <w:numId w:val="1"/>
        </w:numPr>
        <w:spacing w:line="460" w:lineRule="exact"/>
        <w:ind w:left="0" w:firstLineChars="200" w:firstLine="560"/>
        <w:jc w:val="left"/>
        <w:rPr>
          <w:rFonts w:ascii="宋体" w:cs="宋体"/>
          <w:sz w:val="28"/>
          <w:szCs w:val="28"/>
        </w:rPr>
      </w:pPr>
      <w:r>
        <w:rPr>
          <w:rFonts w:ascii="宋体" w:cs="宋体" w:hint="eastAsia"/>
          <w:color w:val="000000"/>
          <w:sz w:val="28"/>
          <w:szCs w:val="28"/>
        </w:rPr>
        <w:t>▲支持采用包含会议管理、MCU、注册和呼叫控制管理、防火墙穿越、会议录制/点播、直播推流、互动白板交互及移动软件接入等多功能服务模块，具备一机实现全面视频通讯应用覆盖（</w:t>
      </w:r>
      <w:r>
        <w:rPr>
          <w:rFonts w:ascii="宋体" w:cs="宋体" w:hint="eastAsia"/>
          <w:b/>
          <w:bCs/>
          <w:color w:val="000000"/>
          <w:sz w:val="28"/>
          <w:szCs w:val="28"/>
        </w:rPr>
        <w:t>投标时提供国家权威部门认可的第三方检测机构出具的检测报告复印件加盖供应商公章。</w:t>
      </w:r>
      <w:r>
        <w:rPr>
          <w:rFonts w:ascii="宋体" w:cs="宋体" w:hint="eastAsia"/>
          <w:color w:val="000000"/>
          <w:sz w:val="28"/>
          <w:szCs w:val="28"/>
        </w:rPr>
        <w:t>）</w:t>
      </w:r>
    </w:p>
    <w:p>
      <w:pPr>
        <w:numPr>
          <w:ilvl w:val="0"/>
          <w:numId w:val="1"/>
        </w:numPr>
        <w:spacing w:line="460" w:lineRule="exact"/>
        <w:ind w:left="0" w:firstLineChars="200" w:firstLine="560"/>
        <w:jc w:val="left"/>
        <w:rPr>
          <w:rFonts w:ascii="宋体" w:cs="宋体"/>
          <w:sz w:val="28"/>
          <w:szCs w:val="28"/>
        </w:rPr>
      </w:pPr>
      <w:r>
        <w:rPr>
          <w:rFonts w:ascii="宋体" w:cs="宋体" w:hint="eastAsia"/>
          <w:color w:val="000000"/>
          <w:sz w:val="28"/>
          <w:szCs w:val="28"/>
        </w:rPr>
        <w:t>▲原生支持全编全解编码设计机制(非通过媒体转换网关和非媒体转发机制）对会议中的视频终端实现全适配处理能力,不同视频终端以多种视频协议、视频格式、分辨率、帧率和码率参与同一会议,</w:t>
      </w:r>
      <w:r>
        <w:rPr>
          <w:rFonts w:ascii="宋体" w:cs="宋体" w:hint="eastAsia"/>
          <w:sz w:val="28"/>
          <w:szCs w:val="28"/>
        </w:rPr>
        <w:t>每个软件和硬件视频终端均可独立自由选择不同的分屏观看模式和分屏数量</w:t>
      </w:r>
      <w:r>
        <w:rPr>
          <w:rFonts w:ascii="宋体" w:cs="宋体" w:hint="eastAsia"/>
          <w:color w:val="000000"/>
          <w:sz w:val="28"/>
          <w:szCs w:val="28"/>
        </w:rPr>
        <w:t>（</w:t>
      </w:r>
      <w:r>
        <w:rPr>
          <w:rFonts w:ascii="宋体" w:cs="宋体" w:hint="eastAsia"/>
          <w:b/>
          <w:bCs/>
          <w:color w:val="000000"/>
          <w:sz w:val="28"/>
          <w:szCs w:val="28"/>
        </w:rPr>
        <w:t>投标时提供国家权威部门认可的第三方检测机构出具的检测报告复印件加盖供应商公章。</w:t>
      </w:r>
      <w:r>
        <w:rPr>
          <w:rFonts w:ascii="宋体" w:cs="宋体" w:hint="eastAsia"/>
          <w:color w:val="000000"/>
          <w:sz w:val="28"/>
          <w:szCs w:val="28"/>
        </w:rPr>
        <w:t>）</w:t>
      </w:r>
    </w:p>
    <w:p>
      <w:pPr>
        <w:numPr>
          <w:ilvl w:val="0"/>
          <w:numId w:val="1"/>
        </w:numPr>
        <w:spacing w:line="460" w:lineRule="exact"/>
        <w:ind w:left="0" w:firstLineChars="200" w:firstLine="560"/>
        <w:jc w:val="left"/>
        <w:rPr>
          <w:rFonts w:ascii="宋体" w:cs="宋体"/>
          <w:sz w:val="28"/>
          <w:szCs w:val="28"/>
        </w:rPr>
      </w:pPr>
      <w:r>
        <w:rPr>
          <w:rFonts w:ascii="宋体" w:cs="宋体" w:hint="eastAsia"/>
          <w:sz w:val="28"/>
          <w:szCs w:val="28"/>
        </w:rPr>
        <w:t>▲支持防火墙穿越服务模块及媒体流代理接入服务，无需授权许可、穿越流量许可和穿越并发许可等限制</w:t>
      </w:r>
      <w:r>
        <w:rPr>
          <w:rFonts w:ascii="宋体" w:cs="宋体" w:hint="eastAsia"/>
          <w:color w:val="000000"/>
          <w:sz w:val="28"/>
          <w:szCs w:val="28"/>
        </w:rPr>
        <w:t>（</w:t>
      </w:r>
      <w:r>
        <w:rPr>
          <w:rFonts w:ascii="宋体" w:cs="宋体" w:hint="eastAsia"/>
          <w:b/>
          <w:bCs/>
          <w:color w:val="000000"/>
          <w:sz w:val="28"/>
          <w:szCs w:val="28"/>
        </w:rPr>
        <w:t>投标时提供国家权威部门认可的第三方检测机构出具的检测报告复印件加盖供应商公章。</w:t>
      </w:r>
      <w:r>
        <w:rPr>
          <w:rFonts w:ascii="宋体" w:cs="宋体" w:hint="eastAsia"/>
          <w:color w:val="000000"/>
          <w:sz w:val="28"/>
          <w:szCs w:val="28"/>
        </w:rPr>
        <w:t>）</w:t>
      </w:r>
    </w:p>
    <w:p>
      <w:pPr>
        <w:pStyle w:val="21"/>
        <w:spacing w:line="460" w:lineRule="exact"/>
        <w:ind w:firstLineChars="200" w:firstLine="560"/>
        <w:jc w:val="left"/>
        <w:rPr>
          <w:rFonts w:ascii="宋体" w:cs="宋体"/>
          <w:szCs w:val="28"/>
        </w:rPr>
      </w:pPr>
      <w:r>
        <w:rPr>
          <w:rFonts w:ascii="宋体" w:cs="宋体" w:hint="eastAsia"/>
          <w:szCs w:val="28"/>
        </w:rPr>
        <w:t>6．▲支持ITU-T H.261、H.263、H.263+、H.264、H.264HighProfile、H.265视频编解码协议</w:t>
      </w:r>
      <w:r>
        <w:rPr>
          <w:rFonts w:ascii="宋体" w:cs="宋体" w:hint="eastAsia"/>
          <w:color w:val="000000"/>
          <w:szCs w:val="28"/>
        </w:rPr>
        <w:t>（</w:t>
      </w:r>
      <w:r>
        <w:rPr>
          <w:rFonts w:ascii="宋体" w:cs="宋体" w:hint="eastAsia"/>
          <w:b/>
          <w:bCs/>
          <w:color w:val="000000"/>
          <w:szCs w:val="28"/>
        </w:rPr>
        <w:t>投标时提供国家权威部门认可的第三方检测机构出具的检测报告复印件加盖供应商公章。</w:t>
      </w:r>
      <w:r>
        <w:rPr>
          <w:rFonts w:ascii="宋体" w:cs="宋体" w:hint="eastAsia"/>
          <w:color w:val="000000"/>
          <w:szCs w:val="28"/>
        </w:rPr>
        <w:t>）</w:t>
      </w:r>
      <w:r>
        <w:rPr>
          <w:rFonts w:ascii="宋体" w:cs="宋体" w:hint="eastAsia"/>
          <w:szCs w:val="28"/>
        </w:rPr>
        <w:t xml:space="preserve"> </w:t>
      </w:r>
    </w:p>
    <w:p>
      <w:pPr>
        <w:pStyle w:val="21"/>
        <w:spacing w:line="460" w:lineRule="exact"/>
        <w:ind w:firstLineChars="200" w:firstLine="560"/>
        <w:jc w:val="left"/>
        <w:rPr>
          <w:rFonts w:ascii="宋体" w:cs="宋体"/>
          <w:szCs w:val="28"/>
        </w:rPr>
      </w:pPr>
      <w:r>
        <w:rPr>
          <w:rFonts w:ascii="宋体" w:cs="宋体" w:hint="eastAsia"/>
          <w:szCs w:val="28"/>
        </w:rPr>
        <w:t>7. ▲在全编全解编码设计机制下媒体资源动态分配，无需手动修改。1路4K 30 fps资源可用于2路1080P 60 fps或4路1080P 30 fps或8路720P 30 fps、或16路标清。同时，资源动态分配能力下，不会影响系统在会议中呈现的最大支持的分屏数量</w:t>
      </w:r>
      <w:r>
        <w:rPr>
          <w:rFonts w:ascii="宋体" w:cs="宋体" w:hint="eastAsia"/>
          <w:color w:val="000000"/>
          <w:szCs w:val="28"/>
        </w:rPr>
        <w:t>（</w:t>
      </w:r>
      <w:r>
        <w:rPr>
          <w:rFonts w:ascii="宋体" w:cs="宋体" w:hint="eastAsia"/>
          <w:b/>
          <w:bCs/>
          <w:color w:val="000000"/>
          <w:szCs w:val="28"/>
        </w:rPr>
        <w:t>投标时提供国家权威部门认可的第三方检测机构出具的检测报告复印件加盖供应商公章。</w:t>
      </w:r>
      <w:r>
        <w:rPr>
          <w:rFonts w:ascii="宋体" w:cs="宋体" w:hint="eastAsia"/>
          <w:color w:val="000000"/>
          <w:szCs w:val="28"/>
        </w:rPr>
        <w:t>）</w:t>
      </w:r>
      <w:r>
        <w:rPr>
          <w:rFonts w:ascii="宋体" w:cs="宋体" w:hint="eastAsia"/>
          <w:szCs w:val="28"/>
        </w:rPr>
        <w:t xml:space="preserve"> </w:t>
      </w:r>
    </w:p>
    <w:p>
      <w:pPr>
        <w:pStyle w:val="21"/>
        <w:spacing w:line="460" w:lineRule="exact"/>
        <w:ind w:firstLineChars="200" w:firstLine="560"/>
        <w:jc w:val="left"/>
        <w:rPr>
          <w:rFonts w:ascii="宋体" w:cs="宋体"/>
          <w:szCs w:val="28"/>
        </w:rPr>
      </w:pPr>
      <w:r>
        <w:rPr>
          <w:rFonts w:ascii="宋体" w:cs="宋体" w:hint="eastAsia"/>
          <w:szCs w:val="28"/>
        </w:rPr>
        <w:t>8．▲在不占用MCU视频资源授权许可的基础上，系统额外支持与高清视频资源授权许可数量同等比例的纯音频资源接入授权许可</w:t>
      </w:r>
      <w:r>
        <w:rPr>
          <w:rFonts w:ascii="宋体" w:cs="宋体" w:hint="eastAsia"/>
          <w:color w:val="000000"/>
          <w:szCs w:val="28"/>
        </w:rPr>
        <w:t>（</w:t>
      </w:r>
      <w:r>
        <w:rPr>
          <w:rFonts w:ascii="宋体" w:cs="宋体" w:hint="eastAsia"/>
          <w:b/>
          <w:bCs/>
          <w:color w:val="000000"/>
          <w:szCs w:val="28"/>
        </w:rPr>
        <w:t>投标时提供国家权威部门认可的第三方检测机构出具的检测报告复印件加盖供应商公章。</w:t>
      </w:r>
      <w:r>
        <w:rPr>
          <w:rFonts w:ascii="宋体" w:cs="宋体" w:hint="eastAsia"/>
          <w:color w:val="000000"/>
          <w:szCs w:val="28"/>
        </w:rPr>
        <w:t>）</w:t>
      </w:r>
    </w:p>
    <w:p>
      <w:pPr>
        <w:pStyle w:val="21"/>
        <w:spacing w:line="460" w:lineRule="exact"/>
        <w:ind w:firstLineChars="200" w:firstLine="560"/>
        <w:jc w:val="left"/>
        <w:rPr>
          <w:rFonts w:ascii="宋体" w:cs="宋体"/>
          <w:szCs w:val="28"/>
        </w:rPr>
      </w:pPr>
      <w:r>
        <w:rPr>
          <w:rFonts w:ascii="宋体" w:cs="宋体" w:hint="eastAsia"/>
          <w:szCs w:val="28"/>
        </w:rPr>
        <w:t>9. ▲支持4K 30fps、1080P 60fps、1080P 30fps、720P 60fps、720P 30fps，并向下兼容 4CIF、CIF、360P、180P等图像格式</w:t>
      </w:r>
      <w:r>
        <w:rPr>
          <w:rFonts w:ascii="宋体" w:cs="宋体" w:hint="eastAsia"/>
          <w:color w:val="000000"/>
          <w:szCs w:val="28"/>
        </w:rPr>
        <w:t>（</w:t>
      </w:r>
      <w:r>
        <w:rPr>
          <w:rFonts w:ascii="宋体" w:cs="宋体" w:hint="eastAsia"/>
          <w:b/>
          <w:bCs/>
          <w:color w:val="000000"/>
          <w:szCs w:val="28"/>
        </w:rPr>
        <w:t>投标时提供国家权威部门认可的第三方检测机构出具的检测报告复印件加盖供应商公章。</w:t>
      </w:r>
      <w:r>
        <w:rPr>
          <w:rFonts w:ascii="宋体" w:cs="宋体" w:hint="eastAsia"/>
          <w:color w:val="000000"/>
          <w:szCs w:val="28"/>
        </w:rPr>
        <w:t>）</w:t>
      </w:r>
      <w:r>
        <w:rPr>
          <w:rFonts w:ascii="宋体" w:cs="宋体" w:hint="eastAsia"/>
          <w:szCs w:val="28"/>
        </w:rPr>
        <w:t xml:space="preserve"> </w:t>
      </w:r>
    </w:p>
    <w:p>
      <w:pPr>
        <w:pStyle w:val="21"/>
        <w:spacing w:line="460" w:lineRule="exact"/>
        <w:ind w:firstLineChars="200" w:firstLine="560"/>
        <w:jc w:val="left"/>
        <w:rPr>
          <w:rFonts w:ascii="宋体" w:cs="宋体"/>
          <w:szCs w:val="28"/>
        </w:rPr>
      </w:pPr>
      <w:r>
        <w:rPr>
          <w:rFonts w:ascii="宋体" w:cs="宋体" w:hint="eastAsia"/>
          <w:szCs w:val="28"/>
        </w:rPr>
        <w:t>10. ▲支持当召开会议的MCU出现网络问题或者断电情况时，资源池内的备份MCU在5 秒钟内自动接管会议，无需管理员操作</w:t>
      </w:r>
      <w:r>
        <w:rPr>
          <w:rFonts w:ascii="宋体" w:cs="宋体" w:hint="eastAsia"/>
          <w:color w:val="000000"/>
          <w:szCs w:val="28"/>
        </w:rPr>
        <w:t>（</w:t>
      </w:r>
      <w:r>
        <w:rPr>
          <w:rFonts w:ascii="宋体" w:cs="宋体" w:hint="eastAsia"/>
          <w:b/>
          <w:bCs/>
          <w:color w:val="000000"/>
          <w:szCs w:val="28"/>
        </w:rPr>
        <w:t>投标时提供国家权威部门认可的第三方检测机构出具的检测报告复印件加盖供应商公章。</w:t>
      </w:r>
      <w:r>
        <w:rPr>
          <w:rFonts w:ascii="宋体" w:cs="宋体" w:hint="eastAsia"/>
          <w:color w:val="000000"/>
          <w:szCs w:val="28"/>
        </w:rPr>
        <w:t>）</w:t>
      </w:r>
    </w:p>
    <w:p>
      <w:pPr>
        <w:pStyle w:val="21"/>
        <w:spacing w:line="460" w:lineRule="exact"/>
        <w:ind w:firstLineChars="200" w:firstLine="560"/>
        <w:jc w:val="left"/>
        <w:rPr>
          <w:rFonts w:ascii="宋体" w:cs="宋体"/>
          <w:color w:val="000000"/>
          <w:szCs w:val="28"/>
        </w:rPr>
      </w:pPr>
      <w:r>
        <w:rPr>
          <w:rFonts w:ascii="宋体" w:cs="宋体" w:hint="eastAsia"/>
          <w:szCs w:val="28"/>
        </w:rPr>
        <w:t>11. ▲支持在60%网络丢包的环境下，音频清晰连贯，视频图像清晰流畅，无花屏、无马赛克；支持在80%网络丢包的环境下，音频清晰连贯、无卡顿</w:t>
      </w:r>
      <w:r>
        <w:rPr>
          <w:rFonts w:ascii="宋体" w:cs="宋体" w:hint="eastAsia"/>
          <w:color w:val="000000"/>
          <w:szCs w:val="28"/>
        </w:rPr>
        <w:t>（</w:t>
      </w:r>
      <w:r>
        <w:rPr>
          <w:rFonts w:ascii="宋体" w:cs="宋体" w:hint="eastAsia"/>
          <w:b/>
          <w:bCs/>
          <w:color w:val="000000"/>
          <w:szCs w:val="28"/>
        </w:rPr>
        <w:t>投标时提供国家权威部门认可的第三方检测机构出具的检测报告复印件加盖供应商公章。</w:t>
      </w:r>
      <w:r>
        <w:rPr>
          <w:rFonts w:ascii="宋体" w:cs="宋体" w:hint="eastAsia"/>
          <w:color w:val="000000"/>
          <w:szCs w:val="28"/>
        </w:rPr>
        <w:t>）</w:t>
      </w:r>
    </w:p>
    <w:p>
      <w:pPr>
        <w:pStyle w:val="21"/>
        <w:spacing w:line="460" w:lineRule="exact"/>
        <w:ind w:firstLineChars="200" w:firstLine="560"/>
        <w:jc w:val="left"/>
        <w:rPr>
          <w:rFonts w:ascii="宋体" w:cs="宋体"/>
          <w:color w:val="000000"/>
          <w:szCs w:val="28"/>
        </w:rPr>
      </w:pPr>
      <w:r>
        <w:rPr>
          <w:rFonts w:ascii="宋体" w:cs="宋体" w:hint="eastAsia"/>
          <w:szCs w:val="28"/>
        </w:rPr>
        <w:t>12. ▲支持平台整体录入视频终端唯一标识后，自动向视频终端推送预配置数据信息，视频终端无需专业、复杂系统配置，开机、联网即刻使用</w:t>
      </w:r>
      <w:r>
        <w:rPr>
          <w:rFonts w:ascii="宋体" w:cs="宋体" w:hint="eastAsia"/>
          <w:color w:val="000000"/>
          <w:szCs w:val="28"/>
        </w:rPr>
        <w:t>（</w:t>
      </w:r>
      <w:r>
        <w:rPr>
          <w:rFonts w:ascii="宋体" w:cs="宋体" w:hint="eastAsia"/>
          <w:b/>
          <w:bCs/>
          <w:color w:val="000000"/>
          <w:szCs w:val="28"/>
        </w:rPr>
        <w:t>投标时提供国家权威部门认可的第三方检测机构出具的检测报告复印件加盖供应商公章。</w:t>
      </w:r>
      <w:r>
        <w:rPr>
          <w:rFonts w:ascii="宋体" w:cs="宋体" w:hint="eastAsia"/>
          <w:color w:val="000000"/>
          <w:szCs w:val="28"/>
        </w:rPr>
        <w:t>）</w:t>
      </w:r>
    </w:p>
    <w:p>
      <w:pPr>
        <w:pStyle w:val="21"/>
        <w:spacing w:line="460" w:lineRule="exact"/>
        <w:ind w:firstLineChars="200" w:firstLine="560"/>
        <w:jc w:val="left"/>
        <w:rPr>
          <w:rFonts w:ascii="宋体" w:cs="宋体"/>
          <w:color w:val="000000"/>
          <w:szCs w:val="28"/>
        </w:rPr>
      </w:pPr>
      <w:r>
        <w:rPr>
          <w:rFonts w:ascii="宋体" w:cs="宋体" w:hint="eastAsia"/>
          <w:szCs w:val="28"/>
        </w:rPr>
        <w:t>13. ▲支持自动64分屏，系统将入会后的软件、硬件终端画面自动分配在分屏窗口中，无需人工干预，</w:t>
      </w:r>
      <w:r>
        <w:rPr>
          <w:rFonts w:ascii="宋体" w:cs="宋体" w:hint="eastAsia"/>
          <w:color w:val="000000"/>
          <w:szCs w:val="28"/>
        </w:rPr>
        <w:t>（</w:t>
      </w:r>
      <w:r>
        <w:rPr>
          <w:rFonts w:ascii="宋体" w:cs="宋体" w:hint="eastAsia"/>
          <w:b/>
          <w:bCs/>
          <w:color w:val="000000"/>
          <w:szCs w:val="28"/>
        </w:rPr>
        <w:t>投标时提供国家权威部门认可的第三方检测机构出具的检测报告复印件加盖供应商公章。</w:t>
      </w:r>
      <w:r>
        <w:rPr>
          <w:rFonts w:ascii="宋体" w:cs="宋体" w:hint="eastAsia"/>
          <w:color w:val="000000"/>
          <w:szCs w:val="28"/>
        </w:rPr>
        <w:t>）</w:t>
      </w:r>
    </w:p>
    <w:p>
      <w:pPr>
        <w:pStyle w:val="21"/>
        <w:spacing w:line="460" w:lineRule="exact"/>
        <w:ind w:firstLineChars="200" w:firstLine="560"/>
        <w:jc w:val="left"/>
        <w:rPr>
          <w:rFonts w:ascii="宋体" w:cs="宋体"/>
          <w:szCs w:val="28"/>
        </w:rPr>
      </w:pPr>
      <w:r>
        <w:rPr>
          <w:rFonts w:ascii="宋体" w:cs="宋体" w:hint="eastAsia"/>
          <w:szCs w:val="28"/>
        </w:rPr>
        <w:t>14. ▲支持高清4K 30fps录制，录制生成可播放文件，支持开启录制、暂停 录制、停止录制</w:t>
      </w:r>
      <w:r>
        <w:rPr>
          <w:rFonts w:ascii="宋体" w:cs="宋体" w:hint="eastAsia"/>
          <w:color w:val="000000"/>
          <w:szCs w:val="28"/>
        </w:rPr>
        <w:t>（</w:t>
      </w:r>
      <w:r>
        <w:rPr>
          <w:rFonts w:ascii="宋体" w:cs="宋体" w:hint="eastAsia"/>
          <w:b/>
          <w:bCs/>
          <w:color w:val="000000"/>
          <w:szCs w:val="28"/>
        </w:rPr>
        <w:t>投标时提供国家权威部门认可的第三方检测机构出具的检测报告复印件加盖供应商公章。</w:t>
      </w:r>
      <w:r>
        <w:rPr>
          <w:rFonts w:ascii="宋体" w:cs="宋体" w:hint="eastAsia"/>
          <w:color w:val="000000"/>
          <w:szCs w:val="28"/>
        </w:rPr>
        <w:t>）</w:t>
      </w:r>
    </w:p>
    <w:p>
      <w:pPr>
        <w:pStyle w:val="21"/>
        <w:spacing w:line="460" w:lineRule="exact"/>
        <w:ind w:firstLineChars="200" w:firstLine="560"/>
        <w:jc w:val="left"/>
        <w:rPr>
          <w:rFonts w:ascii="宋体" w:cs="宋体"/>
          <w:szCs w:val="28"/>
        </w:rPr>
      </w:pPr>
      <w:r>
        <w:rPr>
          <w:rFonts w:ascii="宋体" w:cs="宋体" w:hint="eastAsia"/>
          <w:szCs w:val="28"/>
        </w:rPr>
        <w:t>15. ▲支持多分屏轮询，每个分屏画面都可以指定轮询列表，轮询列表可提前预定义，且自定义分屏轮询时间间隔</w:t>
      </w:r>
      <w:r>
        <w:rPr>
          <w:rFonts w:ascii="宋体" w:cs="宋体" w:hint="eastAsia"/>
          <w:color w:val="000000"/>
          <w:szCs w:val="28"/>
        </w:rPr>
        <w:t>（</w:t>
      </w:r>
      <w:r>
        <w:rPr>
          <w:rFonts w:ascii="宋体" w:cs="宋体" w:hint="eastAsia"/>
          <w:b/>
          <w:bCs/>
          <w:color w:val="000000"/>
          <w:szCs w:val="28"/>
        </w:rPr>
        <w:t>投标时提供国家权威部门认可的第三方检测机构出具的检测报告复印件加盖供应商公章。</w:t>
      </w:r>
      <w:r>
        <w:rPr>
          <w:rFonts w:ascii="宋体" w:cs="宋体" w:hint="eastAsia"/>
          <w:color w:val="000000"/>
          <w:szCs w:val="28"/>
        </w:rPr>
        <w:t>）</w:t>
      </w:r>
    </w:p>
    <w:p>
      <w:pPr>
        <w:spacing w:line="460" w:lineRule="exact"/>
        <w:ind w:firstLineChars="200" w:firstLine="560"/>
        <w:jc w:val="left"/>
        <w:rPr>
          <w:rFonts w:ascii="宋体" w:cs="宋体"/>
          <w:sz w:val="28"/>
          <w:szCs w:val="28"/>
        </w:rPr>
      </w:pPr>
      <w:r>
        <w:rPr>
          <w:rFonts w:ascii="宋体" w:cs="宋体" w:hint="eastAsia"/>
          <w:sz w:val="28"/>
          <w:szCs w:val="28"/>
        </w:rPr>
        <w:t>16.▲支持ARC、ARCT音频编解码算法的高清宽带频率为20KHz，最大支持48K采样率</w:t>
      </w:r>
      <w:r>
        <w:rPr>
          <w:rFonts w:ascii="宋体" w:cs="宋体" w:hint="eastAsia"/>
          <w:color w:val="000000"/>
          <w:sz w:val="28"/>
          <w:szCs w:val="28"/>
        </w:rPr>
        <w:t>（</w:t>
      </w:r>
      <w:r>
        <w:rPr>
          <w:rFonts w:ascii="宋体" w:cs="宋体" w:hint="eastAsia"/>
          <w:b/>
          <w:bCs/>
          <w:color w:val="000000"/>
          <w:sz w:val="28"/>
          <w:szCs w:val="28"/>
        </w:rPr>
        <w:t>投标时提供国家权威部门认可的第三方检测机构出具的检测报告复印件加盖供应商公章。</w:t>
      </w:r>
      <w:r>
        <w:rPr>
          <w:rFonts w:ascii="宋体" w:cs="宋体" w:hint="eastAsia"/>
          <w:color w:val="000000"/>
          <w:sz w:val="28"/>
          <w:szCs w:val="28"/>
        </w:rPr>
        <w:t>）</w:t>
      </w:r>
    </w:p>
    <w:p>
      <w:pPr>
        <w:spacing w:line="460" w:lineRule="exact"/>
        <w:ind w:firstLineChars="200" w:firstLine="560"/>
        <w:jc w:val="left"/>
        <w:rPr>
          <w:rFonts w:ascii="宋体" w:cs="宋体"/>
          <w:sz w:val="28"/>
          <w:szCs w:val="28"/>
        </w:rPr>
      </w:pPr>
      <w:r>
        <w:rPr>
          <w:rFonts w:ascii="宋体" w:cs="宋体" w:hint="eastAsia"/>
          <w:sz w:val="28"/>
          <w:szCs w:val="28"/>
        </w:rPr>
        <w:t>17.★投标时需提供承诺函</w:t>
      </w:r>
      <w:r>
        <w:rPr>
          <w:rFonts w:ascii="宋体" w:cs="宋体" w:hint="eastAsia"/>
          <w:color w:val="FF0000"/>
          <w:sz w:val="28"/>
          <w:szCs w:val="28"/>
          <w:lang w:eastAsia="zh-CN"/>
        </w:rPr>
        <w:t>（格式自拟）</w:t>
      </w:r>
      <w:r>
        <w:rPr>
          <w:rFonts w:ascii="宋体" w:cs="宋体" w:hint="eastAsia"/>
          <w:sz w:val="28"/>
          <w:szCs w:val="28"/>
        </w:rPr>
        <w:t>，承诺中标后签订合同前提供原厂授权函给采购人核验。</w:t>
      </w:r>
    </w:p>
    <w:p>
      <w:pPr>
        <w:spacing w:line="460" w:lineRule="exact"/>
        <w:ind w:firstLineChars="200" w:firstLine="560"/>
        <w:rPr>
          <w:rFonts w:ascii="宋体" w:cs="宋体"/>
          <w:b/>
          <w:bCs/>
          <w:sz w:val="28"/>
          <w:szCs w:val="28"/>
        </w:rPr>
      </w:pPr>
      <w:bookmarkStart w:id="85" w:name="_Toc120199543"/>
      <w:r>
        <w:rPr>
          <w:rFonts w:ascii="宋体" w:cs="宋体" w:hint="eastAsia"/>
          <w:b/>
          <w:bCs/>
          <w:sz w:val="28"/>
          <w:szCs w:val="28"/>
        </w:rPr>
        <w:t>（二）设备和软件故障修复服务</w:t>
      </w:r>
      <w:bookmarkStart w:id="86" w:name="_Toc118284396"/>
      <w:bookmarkEnd w:id="85"/>
    </w:p>
    <w:p>
      <w:pPr>
        <w:spacing w:line="460" w:lineRule="exact"/>
        <w:ind w:firstLineChars="200" w:firstLine="560"/>
        <w:rPr>
          <w:rFonts w:ascii="宋体" w:cs="宋体"/>
          <w:sz w:val="28"/>
          <w:szCs w:val="28"/>
        </w:rPr>
      </w:pPr>
      <w:bookmarkEnd w:id="86"/>
      <w:r>
        <w:rPr>
          <w:rFonts w:ascii="宋体" w:cs="宋体" w:hint="eastAsia"/>
          <w:sz w:val="28"/>
          <w:szCs w:val="28"/>
        </w:rPr>
        <w:t>供应商应根据采购人报障的故障级别，采取必要的服务措施(包括调整)，尽快修复故障，恢复设备和软件的正常运行。供应商可通过电话指导或现场服务等方式进行故障修复，并保证满足双方约定的服务等级中相应故障级别所规定的时限。</w:t>
      </w:r>
      <w:bookmarkStart w:id="87" w:name="_Toc118284397"/>
    </w:p>
    <w:p>
      <w:pPr>
        <w:spacing w:line="460" w:lineRule="exact"/>
        <w:ind w:firstLineChars="200" w:firstLine="560"/>
        <w:rPr>
          <w:rFonts w:ascii="宋体" w:cs="宋体"/>
          <w:sz w:val="28"/>
          <w:szCs w:val="28"/>
        </w:rPr>
      </w:pPr>
      <w:r>
        <w:rPr>
          <w:rFonts w:ascii="宋体" w:cs="宋体" w:hint="eastAsia"/>
          <w:sz w:val="28"/>
          <w:szCs w:val="28"/>
        </w:rPr>
        <w:t>服务要求</w:t>
      </w:r>
      <w:bookmarkEnd w:id="87"/>
    </w:p>
    <w:p>
      <w:pPr>
        <w:spacing w:line="460" w:lineRule="exact"/>
        <w:ind w:firstLineChars="200" w:firstLine="560"/>
        <w:rPr>
          <w:rFonts w:ascii="宋体" w:cs="宋体"/>
          <w:sz w:val="28"/>
          <w:szCs w:val="28"/>
        </w:rPr>
      </w:pPr>
      <w:r>
        <w:rPr>
          <w:rFonts w:ascii="宋体" w:cs="宋体" w:hint="eastAsia"/>
          <w:sz w:val="28"/>
          <w:szCs w:val="28"/>
        </w:rPr>
        <w:t>根据故障的严重程度和影响程度的不同，故障级别由低到高分为三级故障、二级故障、一级故障。当故障没有在规定时限内恢复或解决时，故障级别将自动升级。</w:t>
      </w:r>
    </w:p>
    <w:p>
      <w:pPr>
        <w:spacing w:line="460" w:lineRule="exact"/>
        <w:ind w:firstLineChars="200" w:firstLine="560"/>
        <w:rPr>
          <w:rFonts w:ascii="宋体" w:cs="宋体"/>
          <w:sz w:val="28"/>
          <w:szCs w:val="28"/>
        </w:rPr>
      </w:pPr>
      <w:r>
        <w:rPr>
          <w:rFonts w:ascii="宋体" w:cs="宋体" w:hint="eastAsia"/>
          <w:sz w:val="28"/>
          <w:szCs w:val="28"/>
        </w:rPr>
        <w:t>一级故障(重大故障)：指设备或软件在运行中出现系统瘫痪或服务中断，导致设备的基本功能不能实现；其他造成视频会议基本功能不能实现的故障。</w:t>
      </w:r>
    </w:p>
    <w:p>
      <w:pPr>
        <w:spacing w:line="460" w:lineRule="exact"/>
        <w:ind w:firstLineChars="200" w:firstLine="560"/>
        <w:rPr>
          <w:rFonts w:ascii="宋体" w:cs="宋体"/>
          <w:sz w:val="28"/>
          <w:szCs w:val="28"/>
        </w:rPr>
      </w:pPr>
      <w:r>
        <w:rPr>
          <w:rFonts w:ascii="宋体" w:cs="宋体" w:hint="eastAsia"/>
          <w:sz w:val="28"/>
          <w:szCs w:val="28"/>
        </w:rPr>
        <w:t>二级故障(主要故障)：指设备或软件在运行中出现的直接影响视频会议质量，导致系统性能或服务能力部分丧失的故障；设备或软件在运行中出现的故障具有潜在的系统瘫痪或服务中断的危险，并可能导致设备或软件的基本功能不能实现。</w:t>
      </w:r>
    </w:p>
    <w:p>
      <w:pPr>
        <w:spacing w:line="460" w:lineRule="exact"/>
        <w:ind w:firstLineChars="200" w:firstLine="560"/>
        <w:rPr>
          <w:rFonts w:ascii="宋体" w:cs="宋体"/>
          <w:sz w:val="28"/>
          <w:szCs w:val="28"/>
        </w:rPr>
      </w:pPr>
      <w:r>
        <w:rPr>
          <w:rFonts w:ascii="宋体" w:cs="宋体" w:hint="eastAsia"/>
          <w:sz w:val="28"/>
          <w:szCs w:val="28"/>
        </w:rPr>
        <w:t>三级故障(次要故障)：指设备或软件在运行中出现的，影响视频会议系统功能和性能，但基本功能不受影响的故障。</w:t>
      </w:r>
    </w:p>
    <w:p>
      <w:pPr>
        <w:spacing w:line="460" w:lineRule="exact"/>
        <w:ind w:firstLineChars="200" w:firstLine="560"/>
        <w:rPr>
          <w:rFonts w:ascii="宋体" w:cs="宋体"/>
          <w:sz w:val="28"/>
          <w:szCs w:val="28"/>
        </w:rPr>
      </w:pPr>
      <w:bookmarkStart w:id="88" w:name="_Toc118284398"/>
      <w:r>
        <w:rPr>
          <w:rFonts w:ascii="宋体" w:cs="宋体" w:hint="eastAsia"/>
          <w:sz w:val="28"/>
          <w:szCs w:val="28"/>
        </w:rPr>
        <w:t>电话响应</w:t>
      </w:r>
      <w:bookmarkEnd w:id="88"/>
    </w:p>
    <w:p>
      <w:pPr>
        <w:spacing w:line="460" w:lineRule="exact"/>
        <w:ind w:firstLineChars="200" w:firstLine="560"/>
        <w:rPr>
          <w:rFonts w:ascii="宋体" w:cs="宋体"/>
          <w:sz w:val="28"/>
          <w:szCs w:val="28"/>
        </w:rPr>
      </w:pPr>
      <w:r>
        <w:rPr>
          <w:rFonts w:ascii="宋体" w:cs="宋体" w:hint="eastAsia"/>
          <w:sz w:val="28"/>
          <w:szCs w:val="28"/>
        </w:rPr>
        <w:t>供应商应设立7×24的值班响应电话，并安排有经验的工程师接受报障。当设备或软件出现故障时，采购人通过供应商指定的值班响应电话进行报障。当供应商需要查阅相关资料再对采购人的问题进行回复时，确保在30分钟内回复。</w:t>
      </w:r>
    </w:p>
    <w:p>
      <w:pPr>
        <w:spacing w:line="460" w:lineRule="exact"/>
        <w:ind w:firstLineChars="200" w:firstLine="560"/>
        <w:rPr>
          <w:rFonts w:ascii="宋体" w:cs="宋体"/>
          <w:sz w:val="28"/>
          <w:szCs w:val="28"/>
        </w:rPr>
      </w:pPr>
      <w:r>
        <w:rPr>
          <w:rFonts w:ascii="宋体" w:cs="宋体" w:hint="eastAsia"/>
          <w:sz w:val="28"/>
          <w:szCs w:val="28"/>
        </w:rPr>
        <w:t>对于一级故障，供应商应在初步判断故障后马上派工程师赶赴现场。</w:t>
      </w:r>
      <w:bookmarkStart w:id="89" w:name="_Toc118284399"/>
    </w:p>
    <w:p>
      <w:pPr>
        <w:spacing w:line="460" w:lineRule="exact"/>
        <w:ind w:firstLineChars="200" w:firstLine="560"/>
        <w:rPr>
          <w:rFonts w:ascii="宋体" w:cs="宋体"/>
          <w:sz w:val="28"/>
          <w:szCs w:val="28"/>
        </w:rPr>
      </w:pPr>
      <w:bookmarkStart w:id="90" w:name="_Toc118284400"/>
      <w:bookmarkEnd w:id="89"/>
      <w:r>
        <w:rPr>
          <w:rFonts w:ascii="宋体" w:cs="宋体" w:hint="eastAsia"/>
          <w:sz w:val="28"/>
          <w:szCs w:val="28"/>
        </w:rPr>
        <w:t>现场服务</w:t>
      </w:r>
      <w:bookmarkEnd w:id="90"/>
    </w:p>
    <w:p>
      <w:pPr>
        <w:spacing w:line="460" w:lineRule="exact"/>
        <w:ind w:firstLineChars="200" w:firstLine="560"/>
        <w:rPr>
          <w:rFonts w:ascii="宋体" w:cs="宋体"/>
          <w:sz w:val="28"/>
          <w:szCs w:val="28"/>
        </w:rPr>
      </w:pPr>
      <w:r>
        <w:rPr>
          <w:rFonts w:ascii="宋体" w:cs="宋体" w:hint="eastAsia"/>
          <w:sz w:val="28"/>
          <w:szCs w:val="28"/>
        </w:rPr>
        <w:t>对于通过电话支持不能解决的设备或软件故障，供应商应迅速提供现场支持服务，安排经验丰富的技术支持工程师赴现场分析故障原因，制定故障解决方案，并最终排除故障。</w:t>
      </w:r>
    </w:p>
    <w:p>
      <w:pPr>
        <w:spacing w:line="460" w:lineRule="exact"/>
        <w:ind w:firstLineChars="200" w:firstLine="560"/>
        <w:rPr>
          <w:rFonts w:ascii="宋体" w:cs="宋体"/>
          <w:sz w:val="28"/>
          <w:szCs w:val="28"/>
        </w:rPr>
      </w:pPr>
      <w:r>
        <w:rPr>
          <w:rFonts w:ascii="宋体" w:cs="宋体" w:hint="eastAsia"/>
          <w:sz w:val="28"/>
          <w:szCs w:val="28"/>
        </w:rPr>
        <w:t>具体要求：</w:t>
      </w:r>
    </w:p>
    <w:p>
      <w:pPr>
        <w:spacing w:line="460" w:lineRule="exact"/>
        <w:ind w:firstLineChars="200" w:firstLine="560"/>
        <w:rPr>
          <w:rFonts w:ascii="宋体" w:cs="宋体"/>
          <w:sz w:val="28"/>
          <w:szCs w:val="28"/>
        </w:rPr>
      </w:pPr>
      <w:r>
        <w:rPr>
          <w:rFonts w:ascii="宋体" w:cs="宋体" w:hint="eastAsia"/>
          <w:sz w:val="28"/>
          <w:szCs w:val="28"/>
        </w:rPr>
        <w:t>供应商服务人员在进行现场支持服务前应作好以下准备：</w:t>
      </w:r>
    </w:p>
    <w:p>
      <w:pPr>
        <w:spacing w:line="460" w:lineRule="exact"/>
        <w:ind w:firstLineChars="200" w:firstLine="560"/>
        <w:rPr>
          <w:rFonts w:ascii="宋体" w:cs="宋体"/>
          <w:sz w:val="28"/>
          <w:szCs w:val="28"/>
        </w:rPr>
      </w:pPr>
      <w:r>
        <w:rPr>
          <w:rFonts w:ascii="宋体" w:cs="宋体" w:hint="eastAsia"/>
          <w:sz w:val="28"/>
          <w:szCs w:val="28"/>
        </w:rPr>
        <w:t>查阅采购人用户档案，了解用户设备或软件运行情况及设备或软件以往所发生过的问题及处理办法；</w:t>
      </w:r>
    </w:p>
    <w:p>
      <w:pPr>
        <w:spacing w:line="460" w:lineRule="exact"/>
        <w:ind w:firstLineChars="200" w:firstLine="560"/>
        <w:rPr>
          <w:rFonts w:ascii="宋体" w:cs="宋体"/>
          <w:sz w:val="28"/>
          <w:szCs w:val="28"/>
        </w:rPr>
      </w:pPr>
      <w:r>
        <w:rPr>
          <w:rFonts w:ascii="宋体" w:cs="宋体" w:hint="eastAsia"/>
          <w:sz w:val="28"/>
          <w:szCs w:val="28"/>
        </w:rPr>
        <w:t>准备技术服务工具、技术服务资料、交通工具、必要的备板备件及软件。</w:t>
      </w:r>
    </w:p>
    <w:p>
      <w:pPr>
        <w:spacing w:line="460" w:lineRule="exact"/>
        <w:ind w:firstLineChars="200" w:firstLine="560"/>
        <w:rPr>
          <w:rFonts w:ascii="宋体" w:cs="宋体"/>
          <w:sz w:val="28"/>
          <w:szCs w:val="28"/>
        </w:rPr>
      </w:pPr>
      <w:r>
        <w:rPr>
          <w:rFonts w:ascii="宋体" w:cs="宋体" w:hint="eastAsia"/>
          <w:sz w:val="28"/>
          <w:szCs w:val="28"/>
        </w:rPr>
        <w:t>供应商服务人员抵达采购人用户现场，首先提交《技术服务申请》给用户负责人签字确认。</w:t>
      </w:r>
    </w:p>
    <w:p>
      <w:pPr>
        <w:spacing w:line="460" w:lineRule="exact"/>
        <w:ind w:firstLineChars="200" w:firstLine="560"/>
        <w:rPr>
          <w:rFonts w:ascii="宋体" w:cs="宋体"/>
          <w:sz w:val="28"/>
          <w:szCs w:val="28"/>
        </w:rPr>
      </w:pPr>
      <w:r>
        <w:rPr>
          <w:rFonts w:ascii="宋体" w:cs="宋体" w:hint="eastAsia"/>
          <w:sz w:val="28"/>
          <w:szCs w:val="28"/>
        </w:rPr>
        <w:t>供应商了解设备或软件的运行情况，核实故障现象，并根据故障现象对设备或软件进行故障分析、测试、诊断，并制定功能恢复和故障解决技术方案。供应商须保证优先实施功能恢复，在恢复功能的前提下，再进行彻底的故障修复。</w:t>
      </w:r>
    </w:p>
    <w:p>
      <w:pPr>
        <w:spacing w:line="460" w:lineRule="exact"/>
        <w:ind w:firstLineChars="200" w:firstLine="560"/>
        <w:rPr>
          <w:rFonts w:ascii="宋体" w:cs="宋体"/>
          <w:sz w:val="28"/>
          <w:szCs w:val="28"/>
        </w:rPr>
      </w:pPr>
      <w:r>
        <w:rPr>
          <w:rFonts w:ascii="宋体" w:cs="宋体" w:hint="eastAsia"/>
          <w:sz w:val="28"/>
          <w:szCs w:val="28"/>
        </w:rPr>
        <w:t>如果确定为设备硬件故障，供应商需免费提供设备硬件为采购人进行更换。如果是软件故障，供应商需免费为采购人修复软件故障；如果无法修复，供应商需免费提供重新安装服务。</w:t>
      </w:r>
    </w:p>
    <w:p>
      <w:pPr>
        <w:spacing w:line="460" w:lineRule="exact"/>
        <w:ind w:firstLineChars="200" w:firstLine="560"/>
        <w:rPr>
          <w:rFonts w:ascii="宋体" w:cs="宋体"/>
          <w:sz w:val="28"/>
          <w:szCs w:val="28"/>
        </w:rPr>
      </w:pPr>
      <w:r>
        <w:rPr>
          <w:rFonts w:ascii="宋体" w:cs="宋体" w:hint="eastAsia"/>
          <w:sz w:val="28"/>
          <w:szCs w:val="28"/>
        </w:rPr>
        <w:t>供应商服务人员在处理故障时不能影响到设备或软件的正常运行，并应有采购人维护人员在场协同处理；在必须进行设备升级或更新补丁程序等较大操作时，须安排大规模的网络实际环境测试并经采购人维护主管部门批准方可实施。若因供应商服务人员误操作或擅自行事等主观原因给采购人带来损失的，采购人有权向供应商提出索赔。</w:t>
      </w:r>
    </w:p>
    <w:p>
      <w:pPr>
        <w:spacing w:line="460" w:lineRule="exact"/>
        <w:ind w:firstLineChars="200" w:firstLine="560"/>
        <w:rPr>
          <w:rFonts w:ascii="宋体" w:cs="宋体"/>
          <w:sz w:val="28"/>
          <w:szCs w:val="28"/>
        </w:rPr>
      </w:pPr>
      <w:r>
        <w:rPr>
          <w:rFonts w:ascii="宋体" w:cs="宋体" w:hint="eastAsia"/>
          <w:sz w:val="28"/>
          <w:szCs w:val="28"/>
        </w:rPr>
        <w:t>供应商应考虑全网其他设备是否具备同样问题隐患，如有必要将此软件同时在全网升级，确保全网软件的兼容统一。</w:t>
      </w:r>
    </w:p>
    <w:p>
      <w:pPr>
        <w:spacing w:line="460" w:lineRule="exact"/>
        <w:ind w:firstLineChars="200" w:firstLine="560"/>
        <w:rPr>
          <w:rFonts w:ascii="宋体" w:cs="宋体"/>
          <w:sz w:val="28"/>
          <w:szCs w:val="28"/>
        </w:rPr>
      </w:pPr>
      <w:r>
        <w:rPr>
          <w:rFonts w:ascii="宋体" w:cs="宋体" w:hint="eastAsia"/>
          <w:sz w:val="28"/>
          <w:szCs w:val="28"/>
        </w:rPr>
        <w:t>供应商服务人员在处理故障后，要向采购人维护人员解释故障原因和解决方法，以及在日常维护中的预防措施。</w:t>
      </w:r>
    </w:p>
    <w:p>
      <w:pPr>
        <w:spacing w:line="460" w:lineRule="exact"/>
        <w:ind w:firstLineChars="200" w:firstLine="560"/>
        <w:rPr>
          <w:rFonts w:ascii="宋体" w:cs="宋体"/>
          <w:sz w:val="28"/>
          <w:szCs w:val="28"/>
        </w:rPr>
      </w:pPr>
      <w:r>
        <w:rPr>
          <w:rFonts w:ascii="宋体" w:cs="宋体" w:hint="eastAsia"/>
          <w:sz w:val="28"/>
          <w:szCs w:val="28"/>
        </w:rPr>
        <w:t>供应商服务人员在处理故障时，要认真填写《故障处理报告》，并在离开现场前交采购人主管部门存档，同时加入采购人的用户故障处理数据库。</w:t>
      </w:r>
    </w:p>
    <w:p>
      <w:pPr>
        <w:spacing w:line="460" w:lineRule="exact"/>
        <w:ind w:firstLineChars="200" w:firstLine="560"/>
        <w:rPr>
          <w:rFonts w:ascii="宋体" w:cs="宋体"/>
          <w:sz w:val="28"/>
          <w:szCs w:val="28"/>
        </w:rPr>
      </w:pPr>
      <w:bookmarkStart w:id="91" w:name="_Toc118284401"/>
      <w:r>
        <w:rPr>
          <w:rFonts w:ascii="宋体" w:cs="宋体" w:hint="eastAsia"/>
          <w:sz w:val="28"/>
          <w:szCs w:val="28"/>
        </w:rPr>
        <w:t>对故障恢复和故障解决时限的要求</w:t>
      </w:r>
      <w:bookmarkEnd w:id="91"/>
    </w:p>
    <w:p>
      <w:pPr>
        <w:spacing w:line="460" w:lineRule="exact"/>
        <w:ind w:firstLineChars="200" w:firstLine="560"/>
        <w:rPr>
          <w:rFonts w:ascii="宋体" w:cs="宋体"/>
          <w:sz w:val="28"/>
          <w:szCs w:val="28"/>
        </w:rPr>
      </w:pPr>
      <w:r>
        <w:rPr>
          <w:rFonts w:ascii="宋体" w:cs="宋体" w:hint="eastAsia"/>
          <w:sz w:val="28"/>
          <w:szCs w:val="28"/>
        </w:rPr>
        <w:t>供应商在规定时间到达现场，即开始不间断工作，直到故障排除。对于影响基本功能的一级故障，在进行故障处理时，采购人应优先考虑基本功能恢复，然后再彻底解决故障。</w:t>
      </w:r>
    </w:p>
    <w:tbl>
      <w:tblPr>
        <w:jc w:val="center"/>
        <w:tblW w:w="7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4145"/>
        <w:gridCol w:w="3629"/>
      </w:tblGrid>
      <w:tr>
        <w:trPr>
          <w:trHeight w:val="378"/>
        </w:trPr>
        <w:tc>
          <w:tcPr>
            <w:tcW w:w="4145" w:type="dxa"/>
            <w:tcBorders>
              <w:top w:val="single" w:sz="4" w:space="0" w:color="auto"/>
              <w:left w:val="single" w:sz="4" w:space="0" w:color="auto"/>
              <w:bottom w:val="single" w:sz="4" w:space="0" w:color="auto"/>
              <w:right w:val="single" w:sz="4" w:space="0" w:color="auto"/>
            </w:tcBorders>
            <w:noWrap/>
          </w:tcPr>
          <w:p>
            <w:pPr>
              <w:spacing w:line="460" w:lineRule="exact"/>
              <w:ind w:firstLineChars="200" w:firstLine="560"/>
              <w:rPr>
                <w:rFonts w:ascii="宋体" w:cs="宋体"/>
                <w:sz w:val="28"/>
                <w:szCs w:val="28"/>
              </w:rPr>
            </w:pPr>
            <w:r>
              <w:rPr>
                <w:rFonts w:ascii="宋体" w:cs="宋体" w:hint="eastAsia"/>
                <w:sz w:val="28"/>
                <w:szCs w:val="28"/>
              </w:rPr>
              <w:t>故障级别</w:t>
            </w:r>
          </w:p>
        </w:tc>
        <w:tc>
          <w:tcPr>
            <w:tcW w:w="3629" w:type="dxa"/>
            <w:tcBorders>
              <w:top w:val="single" w:sz="4" w:space="0" w:color="auto"/>
              <w:left w:val="single" w:sz="4" w:space="0" w:color="auto"/>
              <w:bottom w:val="single" w:sz="4" w:space="0" w:color="auto"/>
              <w:right w:val="single" w:sz="4" w:space="0" w:color="auto"/>
            </w:tcBorders>
            <w:noWrap/>
          </w:tcPr>
          <w:p>
            <w:pPr>
              <w:spacing w:line="460" w:lineRule="exact"/>
              <w:ind w:firstLineChars="200" w:firstLine="560"/>
              <w:rPr>
                <w:rFonts w:ascii="宋体" w:cs="宋体"/>
                <w:sz w:val="28"/>
                <w:szCs w:val="28"/>
              </w:rPr>
            </w:pPr>
            <w:r>
              <w:rPr>
                <w:rFonts w:ascii="宋体" w:cs="宋体" w:hint="eastAsia"/>
                <w:sz w:val="28"/>
                <w:szCs w:val="28"/>
              </w:rPr>
              <w:t>处理时限</w:t>
            </w:r>
          </w:p>
        </w:tc>
      </w:tr>
      <w:tr>
        <w:trPr>
          <w:trHeight w:val="380"/>
        </w:trPr>
        <w:tc>
          <w:tcPr>
            <w:tcW w:w="4145" w:type="dxa"/>
            <w:tcBorders>
              <w:top w:val="single" w:sz="4" w:space="0" w:color="auto"/>
              <w:left w:val="single" w:sz="4" w:space="0" w:color="auto"/>
              <w:bottom w:val="single" w:sz="4" w:space="0" w:color="auto"/>
              <w:right w:val="single" w:sz="4" w:space="0" w:color="auto"/>
            </w:tcBorders>
            <w:noWrap/>
          </w:tcPr>
          <w:p>
            <w:pPr>
              <w:spacing w:line="460" w:lineRule="exact"/>
              <w:ind w:firstLineChars="200" w:firstLine="560"/>
              <w:rPr>
                <w:rFonts w:ascii="宋体" w:cs="宋体"/>
                <w:sz w:val="28"/>
                <w:szCs w:val="28"/>
              </w:rPr>
            </w:pPr>
            <w:r>
              <w:rPr>
                <w:rFonts w:ascii="宋体" w:cs="宋体" w:hint="eastAsia"/>
                <w:sz w:val="28"/>
                <w:szCs w:val="28"/>
              </w:rPr>
              <w:t>一级故障恢复</w:t>
            </w:r>
          </w:p>
        </w:tc>
        <w:tc>
          <w:tcPr>
            <w:tcW w:w="3629" w:type="dxa"/>
            <w:tcBorders>
              <w:top w:val="single" w:sz="4" w:space="0" w:color="auto"/>
              <w:left w:val="single" w:sz="4" w:space="0" w:color="auto"/>
              <w:bottom w:val="single" w:sz="4" w:space="0" w:color="auto"/>
              <w:right w:val="single" w:sz="4" w:space="0" w:color="auto"/>
            </w:tcBorders>
            <w:noWrap/>
          </w:tcPr>
          <w:p>
            <w:pPr>
              <w:spacing w:line="460" w:lineRule="exact"/>
              <w:ind w:firstLineChars="200" w:firstLine="560"/>
              <w:rPr>
                <w:rFonts w:ascii="宋体" w:cs="宋体"/>
                <w:sz w:val="28"/>
                <w:szCs w:val="28"/>
              </w:rPr>
            </w:pPr>
            <w:r>
              <w:rPr>
                <w:rFonts w:ascii="宋体" w:cs="宋体" w:hint="eastAsia"/>
                <w:sz w:val="28"/>
                <w:szCs w:val="28"/>
              </w:rPr>
              <w:t>小于4小时</w:t>
            </w:r>
          </w:p>
        </w:tc>
      </w:tr>
      <w:tr>
        <w:trPr>
          <w:trHeight w:val="378"/>
        </w:trPr>
        <w:tc>
          <w:tcPr>
            <w:tcW w:w="4145" w:type="dxa"/>
            <w:tcBorders>
              <w:top w:val="single" w:sz="4" w:space="0" w:color="auto"/>
              <w:left w:val="single" w:sz="4" w:space="0" w:color="auto"/>
              <w:bottom w:val="single" w:sz="4" w:space="0" w:color="auto"/>
              <w:right w:val="single" w:sz="4" w:space="0" w:color="auto"/>
            </w:tcBorders>
            <w:noWrap/>
          </w:tcPr>
          <w:p>
            <w:pPr>
              <w:spacing w:line="460" w:lineRule="exact"/>
              <w:ind w:firstLineChars="200" w:firstLine="560"/>
              <w:rPr>
                <w:rFonts w:ascii="宋体" w:cs="宋体"/>
                <w:sz w:val="28"/>
                <w:szCs w:val="28"/>
              </w:rPr>
            </w:pPr>
            <w:r>
              <w:rPr>
                <w:rFonts w:ascii="宋体" w:cs="宋体" w:hint="eastAsia"/>
                <w:sz w:val="28"/>
                <w:szCs w:val="28"/>
              </w:rPr>
              <w:t>一级故障解决</w:t>
            </w:r>
          </w:p>
        </w:tc>
        <w:tc>
          <w:tcPr>
            <w:tcW w:w="3629" w:type="dxa"/>
            <w:tcBorders>
              <w:top w:val="single" w:sz="4" w:space="0" w:color="auto"/>
              <w:left w:val="single" w:sz="4" w:space="0" w:color="auto"/>
              <w:bottom w:val="single" w:sz="4" w:space="0" w:color="auto"/>
              <w:right w:val="single" w:sz="4" w:space="0" w:color="auto"/>
            </w:tcBorders>
            <w:noWrap/>
          </w:tcPr>
          <w:p>
            <w:pPr>
              <w:spacing w:line="460" w:lineRule="exact"/>
              <w:ind w:firstLineChars="200" w:firstLine="560"/>
              <w:rPr>
                <w:rFonts w:ascii="宋体" w:cs="宋体"/>
                <w:sz w:val="28"/>
                <w:szCs w:val="28"/>
              </w:rPr>
            </w:pPr>
            <w:r>
              <w:rPr>
                <w:rFonts w:ascii="宋体" w:cs="宋体" w:hint="eastAsia"/>
                <w:sz w:val="28"/>
                <w:szCs w:val="28"/>
              </w:rPr>
              <w:t>小于24小时</w:t>
            </w:r>
          </w:p>
        </w:tc>
      </w:tr>
      <w:tr>
        <w:trPr>
          <w:trHeight w:val="378"/>
        </w:trPr>
        <w:tc>
          <w:tcPr>
            <w:tcW w:w="4145" w:type="dxa"/>
            <w:tcBorders>
              <w:top w:val="single" w:sz="4" w:space="0" w:color="auto"/>
              <w:left w:val="single" w:sz="4" w:space="0" w:color="auto"/>
              <w:bottom w:val="single" w:sz="4" w:space="0" w:color="auto"/>
              <w:right w:val="single" w:sz="4" w:space="0" w:color="auto"/>
            </w:tcBorders>
            <w:noWrap/>
          </w:tcPr>
          <w:p>
            <w:pPr>
              <w:spacing w:line="460" w:lineRule="exact"/>
              <w:ind w:firstLineChars="200" w:firstLine="560"/>
              <w:rPr>
                <w:rFonts w:ascii="宋体" w:cs="宋体"/>
                <w:sz w:val="28"/>
                <w:szCs w:val="28"/>
              </w:rPr>
            </w:pPr>
            <w:r>
              <w:rPr>
                <w:rFonts w:ascii="宋体" w:cs="宋体" w:hint="eastAsia"/>
                <w:sz w:val="28"/>
                <w:szCs w:val="28"/>
              </w:rPr>
              <w:t>二级故障解决</w:t>
            </w:r>
          </w:p>
        </w:tc>
        <w:tc>
          <w:tcPr>
            <w:tcW w:w="3629" w:type="dxa"/>
            <w:tcBorders>
              <w:top w:val="single" w:sz="4" w:space="0" w:color="auto"/>
              <w:left w:val="single" w:sz="4" w:space="0" w:color="auto"/>
              <w:bottom w:val="single" w:sz="4" w:space="0" w:color="auto"/>
              <w:right w:val="single" w:sz="4" w:space="0" w:color="auto"/>
            </w:tcBorders>
            <w:noWrap/>
          </w:tcPr>
          <w:p>
            <w:pPr>
              <w:spacing w:line="460" w:lineRule="exact"/>
              <w:ind w:firstLineChars="200" w:firstLine="560"/>
              <w:rPr>
                <w:rFonts w:ascii="宋体" w:cs="宋体"/>
                <w:sz w:val="28"/>
                <w:szCs w:val="28"/>
              </w:rPr>
            </w:pPr>
            <w:r>
              <w:rPr>
                <w:rFonts w:ascii="宋体" w:cs="宋体" w:hint="eastAsia"/>
                <w:sz w:val="28"/>
                <w:szCs w:val="28"/>
              </w:rPr>
              <w:t>小于24小时</w:t>
            </w:r>
          </w:p>
        </w:tc>
      </w:tr>
      <w:tr>
        <w:trPr>
          <w:trHeight w:val="364"/>
        </w:trPr>
        <w:tc>
          <w:tcPr>
            <w:tcW w:w="4145" w:type="dxa"/>
            <w:tcBorders>
              <w:top w:val="single" w:sz="4" w:space="0" w:color="auto"/>
              <w:left w:val="single" w:sz="4" w:space="0" w:color="auto"/>
              <w:bottom w:val="single" w:sz="4" w:space="0" w:color="auto"/>
              <w:right w:val="single" w:sz="4" w:space="0" w:color="auto"/>
            </w:tcBorders>
            <w:noWrap/>
          </w:tcPr>
          <w:p>
            <w:pPr>
              <w:spacing w:line="460" w:lineRule="exact"/>
              <w:ind w:firstLineChars="200" w:firstLine="560"/>
              <w:rPr>
                <w:rFonts w:ascii="宋体" w:cs="宋体"/>
                <w:sz w:val="28"/>
                <w:szCs w:val="28"/>
              </w:rPr>
            </w:pPr>
            <w:r>
              <w:rPr>
                <w:rFonts w:ascii="宋体" w:cs="宋体" w:hint="eastAsia"/>
                <w:sz w:val="28"/>
                <w:szCs w:val="28"/>
              </w:rPr>
              <w:t>三级故障解决</w:t>
            </w:r>
          </w:p>
        </w:tc>
        <w:tc>
          <w:tcPr>
            <w:tcW w:w="3629" w:type="dxa"/>
            <w:tcBorders>
              <w:top w:val="single" w:sz="4" w:space="0" w:color="auto"/>
              <w:left w:val="single" w:sz="4" w:space="0" w:color="auto"/>
              <w:bottom w:val="single" w:sz="4" w:space="0" w:color="auto"/>
              <w:right w:val="single" w:sz="4" w:space="0" w:color="auto"/>
            </w:tcBorders>
            <w:noWrap/>
          </w:tcPr>
          <w:p>
            <w:pPr>
              <w:spacing w:line="460" w:lineRule="exact"/>
              <w:ind w:firstLineChars="200" w:firstLine="560"/>
              <w:rPr>
                <w:rFonts w:ascii="宋体" w:cs="宋体"/>
                <w:sz w:val="28"/>
                <w:szCs w:val="28"/>
              </w:rPr>
            </w:pPr>
            <w:r>
              <w:rPr>
                <w:rFonts w:ascii="宋体" w:cs="宋体" w:hint="eastAsia"/>
                <w:sz w:val="28"/>
                <w:szCs w:val="28"/>
              </w:rPr>
              <w:t>小于48小时</w:t>
            </w:r>
          </w:p>
        </w:tc>
      </w:tr>
    </w:tbl>
    <w:p>
      <w:pPr>
        <w:spacing w:line="460" w:lineRule="exact"/>
        <w:ind w:firstLineChars="200" w:firstLine="560"/>
        <w:rPr>
          <w:rFonts w:ascii="宋体" w:cs="宋体"/>
          <w:sz w:val="28"/>
          <w:szCs w:val="28"/>
        </w:rPr>
      </w:pPr>
      <w:r>
        <w:rPr>
          <w:rFonts w:ascii="宋体" w:cs="宋体" w:hint="eastAsia"/>
          <w:sz w:val="28"/>
          <w:szCs w:val="28"/>
        </w:rPr>
        <w:t>注：如供应商已经选用最快交通方式，但仍因交通原因造成故障恢复超过时限的，经双方协商可将该次故障的时限适当延长。</w:t>
      </w:r>
    </w:p>
    <w:p>
      <w:pPr>
        <w:spacing w:line="460" w:lineRule="exact"/>
        <w:ind w:firstLineChars="200" w:firstLine="560"/>
        <w:rPr>
          <w:rFonts w:ascii="宋体" w:cs="宋体"/>
          <w:b/>
          <w:bCs/>
          <w:sz w:val="28"/>
          <w:szCs w:val="28"/>
        </w:rPr>
      </w:pPr>
      <w:bookmarkStart w:id="92" w:name="_Toc118284405"/>
      <w:bookmarkStart w:id="93" w:name="_Toc120199545"/>
      <w:r>
        <w:rPr>
          <w:rFonts w:ascii="宋体" w:cs="宋体" w:hint="eastAsia"/>
          <w:b/>
          <w:bCs/>
          <w:sz w:val="28"/>
          <w:szCs w:val="28"/>
        </w:rPr>
        <w:t>（三）软件维护服务</w:t>
      </w:r>
      <w:bookmarkStart w:id="94" w:name="_Toc118284406"/>
      <w:bookmarkEnd w:id="92"/>
      <w:bookmarkEnd w:id="93"/>
    </w:p>
    <w:p>
      <w:pPr>
        <w:spacing w:line="460" w:lineRule="exact"/>
        <w:ind w:firstLineChars="200" w:firstLine="560"/>
        <w:rPr>
          <w:rFonts w:ascii="宋体" w:cs="宋体"/>
          <w:sz w:val="28"/>
          <w:szCs w:val="28"/>
        </w:rPr>
      </w:pPr>
      <w:r>
        <w:rPr>
          <w:rFonts w:ascii="宋体" w:cs="宋体" w:hint="eastAsia"/>
          <w:sz w:val="28"/>
          <w:szCs w:val="28"/>
        </w:rPr>
        <w:t>服务描述</w:t>
      </w:r>
      <w:bookmarkEnd w:id="94"/>
    </w:p>
    <w:p>
      <w:pPr>
        <w:spacing w:line="460" w:lineRule="exact"/>
        <w:ind w:firstLineChars="200" w:firstLine="560"/>
        <w:rPr>
          <w:rFonts w:ascii="宋体" w:cs="宋体"/>
          <w:sz w:val="28"/>
          <w:szCs w:val="28"/>
        </w:rPr>
      </w:pPr>
      <w:r>
        <w:rPr>
          <w:rFonts w:ascii="宋体" w:cs="宋体" w:hint="eastAsia"/>
          <w:sz w:val="28"/>
          <w:szCs w:val="28"/>
        </w:rPr>
        <w:t>本技术规格及要求所指软件系本次招标维护保修范围内的MCU设备内嵌软件及相关控制软件。</w:t>
      </w:r>
    </w:p>
    <w:p>
      <w:pPr>
        <w:spacing w:line="460" w:lineRule="exact"/>
        <w:ind w:firstLineChars="200" w:firstLine="560"/>
        <w:rPr>
          <w:rFonts w:ascii="宋体" w:cs="宋体"/>
          <w:sz w:val="28"/>
          <w:szCs w:val="28"/>
        </w:rPr>
      </w:pPr>
      <w:r>
        <w:rPr>
          <w:rFonts w:ascii="宋体" w:cs="宋体" w:hint="eastAsia"/>
          <w:sz w:val="28"/>
          <w:szCs w:val="28"/>
        </w:rPr>
        <w:t>软件补丁是指供应商对原授权软件所做的修正和补充，是此版本软件运行过程中已发现问题的解决方案，这些软件补丁将对原授权软件起到消除运行中潜在隐患的作用。</w:t>
      </w:r>
      <w:bookmarkStart w:id="95" w:name="_Toc118284407"/>
    </w:p>
    <w:p>
      <w:pPr>
        <w:spacing w:line="460" w:lineRule="exact"/>
        <w:ind w:firstLineChars="200" w:firstLine="560"/>
        <w:rPr>
          <w:rFonts w:ascii="宋体" w:cs="宋体"/>
          <w:sz w:val="28"/>
          <w:szCs w:val="28"/>
        </w:rPr>
      </w:pPr>
      <w:r>
        <w:rPr>
          <w:rFonts w:ascii="宋体" w:cs="宋体" w:hint="eastAsia"/>
          <w:sz w:val="28"/>
          <w:szCs w:val="28"/>
        </w:rPr>
        <w:t>服务要求</w:t>
      </w:r>
    </w:p>
    <w:p>
      <w:pPr>
        <w:spacing w:line="460" w:lineRule="exact"/>
        <w:ind w:firstLineChars="200" w:firstLine="560"/>
        <w:rPr>
          <w:rFonts w:ascii="宋体" w:cs="宋体"/>
          <w:sz w:val="28"/>
          <w:szCs w:val="28"/>
        </w:rPr>
      </w:pPr>
      <w:r>
        <w:rPr>
          <w:rFonts w:ascii="宋体" w:cs="宋体" w:hint="eastAsia"/>
          <w:sz w:val="28"/>
          <w:szCs w:val="28"/>
        </w:rPr>
        <w:t>投标人应安排专职的网络及视频会议系统的资深技术人员，定期对采购人的软件进行健康检查，提供现场维护服务，故障响应，协助进行问题指导和信息搜集，并尽快恢复视频会议系统最佳运行状态、协助进行问题跟踪、分析、处理和解决，提供日常系统维护和管理使用建议，开展技术交流和技术培训，协助进行版本管理和系统配置管理。除正常的定期巡检外，供应商需根据采购人的需要，随时安排熟悉维保产品的资深技术人员为采购人提供软件现场支持服务。</w:t>
      </w:r>
    </w:p>
    <w:p>
      <w:pPr>
        <w:spacing w:line="460" w:lineRule="exact"/>
        <w:ind w:firstLineChars="200" w:firstLine="560"/>
        <w:rPr>
          <w:rFonts w:ascii="宋体" w:cs="宋体"/>
          <w:b/>
          <w:bCs/>
          <w:sz w:val="28"/>
          <w:szCs w:val="28"/>
        </w:rPr>
      </w:pPr>
      <w:bookmarkStart w:id="96" w:name="_Toc120199546"/>
      <w:bookmarkStart w:id="97" w:name="_Toc118284402"/>
      <w:bookmarkStart w:id="98" w:name="_Toc118284408"/>
      <w:bookmarkEnd w:id="95"/>
      <w:r>
        <w:rPr>
          <w:rFonts w:ascii="宋体" w:cs="宋体" w:hint="eastAsia"/>
          <w:b/>
          <w:bCs/>
          <w:sz w:val="28"/>
          <w:szCs w:val="28"/>
        </w:rPr>
        <w:t>(四)电话技术支持服务</w:t>
      </w:r>
      <w:bookmarkStart w:id="99" w:name="_Toc118284403"/>
      <w:bookmarkEnd w:id="96"/>
      <w:bookmarkEnd w:id="97"/>
    </w:p>
    <w:p>
      <w:pPr>
        <w:spacing w:line="460" w:lineRule="exact"/>
        <w:ind w:firstLineChars="200" w:firstLine="560"/>
        <w:rPr>
          <w:rFonts w:ascii="宋体" w:cs="宋体"/>
          <w:sz w:val="28"/>
          <w:szCs w:val="28"/>
        </w:rPr>
      </w:pPr>
      <w:r>
        <w:rPr>
          <w:rFonts w:ascii="宋体" w:cs="宋体" w:hint="eastAsia"/>
          <w:sz w:val="28"/>
          <w:szCs w:val="28"/>
        </w:rPr>
        <w:t>服务描述</w:t>
      </w:r>
      <w:bookmarkEnd w:id="99"/>
    </w:p>
    <w:p>
      <w:pPr>
        <w:spacing w:line="460" w:lineRule="exact"/>
        <w:ind w:firstLineChars="200" w:firstLine="560"/>
        <w:rPr>
          <w:rFonts w:ascii="宋体" w:cs="宋体"/>
          <w:sz w:val="28"/>
          <w:szCs w:val="28"/>
        </w:rPr>
      </w:pPr>
      <w:r>
        <w:rPr>
          <w:rFonts w:ascii="宋体" w:cs="宋体" w:hint="eastAsia"/>
          <w:sz w:val="28"/>
          <w:szCs w:val="28"/>
        </w:rPr>
        <w:t>供应商通过电话为采购人提供技术支持，协助采购人解决系统日常运行中的问题。</w:t>
      </w:r>
      <w:bookmarkStart w:id="100" w:name="_Toc118284404"/>
    </w:p>
    <w:p>
      <w:pPr>
        <w:spacing w:line="460" w:lineRule="exact"/>
        <w:ind w:firstLineChars="200" w:firstLine="560"/>
        <w:rPr>
          <w:rFonts w:ascii="宋体" w:cs="宋体"/>
          <w:sz w:val="28"/>
          <w:szCs w:val="28"/>
        </w:rPr>
      </w:pPr>
      <w:r>
        <w:rPr>
          <w:rFonts w:ascii="宋体" w:cs="宋体" w:hint="eastAsia"/>
          <w:sz w:val="28"/>
          <w:szCs w:val="28"/>
        </w:rPr>
        <w:t>服务要求</w:t>
      </w:r>
      <w:bookmarkEnd w:id="100"/>
    </w:p>
    <w:p>
      <w:pPr>
        <w:spacing w:line="460" w:lineRule="exact"/>
        <w:ind w:firstLineChars="200" w:firstLine="560"/>
        <w:rPr>
          <w:rFonts w:ascii="宋体" w:cs="宋体"/>
          <w:sz w:val="28"/>
          <w:szCs w:val="28"/>
        </w:rPr>
      </w:pPr>
      <w:r>
        <w:rPr>
          <w:rFonts w:ascii="宋体" w:cs="宋体" w:hint="eastAsia"/>
          <w:sz w:val="28"/>
          <w:szCs w:val="28"/>
        </w:rPr>
        <w:t>应商应设立7×24小时的技术支持热线，保证采购人获得设备和软件日常维护的技术支持，保证采购人关于设备和软件的技术性问题得到及时、有效的解答。</w:t>
      </w:r>
    </w:p>
    <w:p>
      <w:pPr>
        <w:spacing w:line="460" w:lineRule="exact"/>
        <w:ind w:firstLineChars="200" w:firstLine="560"/>
        <w:rPr>
          <w:rFonts w:ascii="宋体" w:cs="宋体"/>
          <w:sz w:val="28"/>
          <w:szCs w:val="28"/>
        </w:rPr>
      </w:pPr>
      <w:r>
        <w:rPr>
          <w:rFonts w:ascii="宋体" w:cs="宋体" w:hint="eastAsia"/>
          <w:sz w:val="28"/>
          <w:szCs w:val="28"/>
        </w:rPr>
        <w:t>供应商设立7×24的值班响应电话，并安排有经验的工程师接受报障。当设备或软件出现故障时，采购人通过供应商指定的值班响应电话进行报障。当供应商需要查阅相关资料再对采购人的问题进行回复时，确保30分钟内回复。</w:t>
      </w:r>
    </w:p>
    <w:p>
      <w:pPr>
        <w:spacing w:line="460" w:lineRule="exact"/>
        <w:ind w:firstLineChars="200" w:firstLine="560"/>
        <w:rPr>
          <w:rFonts w:ascii="宋体" w:cs="宋体"/>
          <w:b/>
          <w:bCs/>
          <w:sz w:val="28"/>
          <w:szCs w:val="28"/>
        </w:rPr>
      </w:pPr>
      <w:bookmarkStart w:id="101" w:name="_Toc120199547"/>
      <w:r>
        <w:rPr>
          <w:rFonts w:ascii="宋体" w:cs="宋体" w:hint="eastAsia"/>
          <w:b/>
          <w:bCs/>
          <w:sz w:val="28"/>
          <w:szCs w:val="28"/>
        </w:rPr>
        <w:t>（五）巡检服务</w:t>
      </w:r>
      <w:bookmarkStart w:id="102" w:name="_Toc118284409"/>
      <w:bookmarkEnd w:id="98"/>
      <w:bookmarkEnd w:id="101"/>
    </w:p>
    <w:p>
      <w:pPr>
        <w:spacing w:line="460" w:lineRule="exact"/>
        <w:ind w:firstLineChars="200" w:firstLine="560"/>
        <w:rPr>
          <w:rFonts w:ascii="宋体" w:cs="宋体"/>
          <w:sz w:val="28"/>
          <w:szCs w:val="28"/>
        </w:rPr>
      </w:pPr>
      <w:r>
        <w:rPr>
          <w:rFonts w:ascii="宋体" w:cs="宋体" w:hint="eastAsia"/>
          <w:sz w:val="28"/>
          <w:szCs w:val="28"/>
        </w:rPr>
        <w:t>服务描述</w:t>
      </w:r>
      <w:bookmarkEnd w:id="102"/>
    </w:p>
    <w:p>
      <w:pPr>
        <w:spacing w:line="460" w:lineRule="exact"/>
        <w:ind w:firstLineChars="200" w:firstLine="560"/>
        <w:rPr>
          <w:rFonts w:ascii="宋体" w:cs="宋体"/>
          <w:sz w:val="28"/>
          <w:szCs w:val="28"/>
        </w:rPr>
      </w:pPr>
      <w:r>
        <w:rPr>
          <w:rFonts w:ascii="宋体" w:cs="宋体" w:hint="eastAsia"/>
          <w:sz w:val="28"/>
          <w:szCs w:val="28"/>
        </w:rPr>
        <w:t>供应商为南通市统计局视频会议系统的设备和软件进行每年四次的定期现场检查，及时发现运行中存在的隐患，通过系统调整等手段，减少系统发生故障的概率，保证系统稳定、高效运行。</w:t>
      </w:r>
      <w:bookmarkStart w:id="103" w:name="_Toc118284410"/>
    </w:p>
    <w:p>
      <w:pPr>
        <w:spacing w:line="460" w:lineRule="exact"/>
        <w:ind w:firstLineChars="200" w:firstLine="560"/>
        <w:rPr>
          <w:rFonts w:ascii="宋体" w:cs="宋体"/>
          <w:sz w:val="28"/>
          <w:szCs w:val="28"/>
        </w:rPr>
      </w:pPr>
      <w:r>
        <w:rPr>
          <w:rFonts w:ascii="宋体" w:cs="宋体" w:hint="eastAsia"/>
          <w:sz w:val="28"/>
          <w:szCs w:val="28"/>
        </w:rPr>
        <w:t>服务要求</w:t>
      </w:r>
      <w:bookmarkEnd w:id="103"/>
    </w:p>
    <w:p>
      <w:pPr>
        <w:spacing w:line="460" w:lineRule="exact"/>
        <w:ind w:firstLineChars="200" w:firstLine="560"/>
        <w:rPr>
          <w:rFonts w:ascii="宋体" w:cs="宋体"/>
          <w:sz w:val="28"/>
          <w:szCs w:val="28"/>
        </w:rPr>
      </w:pPr>
      <w:r>
        <w:rPr>
          <w:rFonts w:ascii="宋体" w:cs="宋体" w:hint="eastAsia"/>
          <w:sz w:val="28"/>
          <w:szCs w:val="28"/>
        </w:rPr>
        <w:t>供应商应根据南通市统计局的需求每年定期提供四次现场巡检服务。提供此项服务的目的是确保南通市统计局视频网络的正常运行，消除积累的错误和隐患，保障网络的可用性和性能。</w:t>
      </w:r>
    </w:p>
    <w:p>
      <w:pPr>
        <w:spacing w:line="460" w:lineRule="exact"/>
        <w:ind w:firstLineChars="200" w:firstLine="560"/>
        <w:rPr>
          <w:rFonts w:ascii="宋体" w:cs="宋体"/>
          <w:sz w:val="28"/>
          <w:szCs w:val="28"/>
        </w:rPr>
      </w:pPr>
      <w:r>
        <w:rPr>
          <w:rFonts w:ascii="宋体" w:cs="宋体" w:hint="eastAsia"/>
          <w:sz w:val="28"/>
          <w:szCs w:val="28"/>
        </w:rPr>
        <w:t>在巡检前，供应商应与采购人讨论具体的巡检人员、素质、计划、内容、形式、步骤等，并根据采购人的时间计划安排足够数量的工程师配合，并至少有一名技术工程师。</w:t>
      </w:r>
    </w:p>
    <w:p>
      <w:pPr>
        <w:spacing w:line="460" w:lineRule="exact"/>
        <w:ind w:firstLineChars="200" w:firstLine="560"/>
        <w:rPr>
          <w:rFonts w:ascii="宋体" w:cs="宋体"/>
          <w:sz w:val="28"/>
          <w:szCs w:val="28"/>
        </w:rPr>
      </w:pPr>
      <w:r>
        <w:rPr>
          <w:rFonts w:ascii="宋体" w:cs="宋体" w:hint="eastAsia"/>
          <w:sz w:val="28"/>
          <w:szCs w:val="28"/>
        </w:rPr>
        <w:t>在巡检期间，供应商负责本系统的健康性检查，进行告警的清理与分析，清理日志文件垃圾，解决安全隐患，对网络的运行状况进行性能分析，保障网络的正常运行。</w:t>
      </w:r>
    </w:p>
    <w:p>
      <w:pPr>
        <w:spacing w:line="460" w:lineRule="exact"/>
        <w:ind w:firstLineChars="200" w:firstLine="560"/>
        <w:rPr>
          <w:rFonts w:ascii="宋体" w:cs="宋体"/>
          <w:sz w:val="28"/>
          <w:szCs w:val="28"/>
        </w:rPr>
      </w:pPr>
      <w:r>
        <w:rPr>
          <w:rFonts w:ascii="宋体" w:cs="宋体" w:hint="eastAsia"/>
          <w:sz w:val="28"/>
          <w:szCs w:val="28"/>
        </w:rPr>
        <w:t>供应商完成现场设备和软件巡检后需配合采购人工程师填写巡检记录表。供应商在巡检完成后三个工作日内提交巡检报告（报告模版由供应商提供），采购人可以根据需要要求供应商增加或修改巡检内容。供应商需为采购人建立系统维修档案，并根据系统运行情况向采购人提供设备和软件的升级、改造、更换的建议和方案。在系统巡检过程中供应商需根据采购人需要对采购人工程师进行现场培训。</w:t>
      </w:r>
    </w:p>
    <w:p>
      <w:pPr>
        <w:spacing w:line="460" w:lineRule="exact"/>
        <w:ind w:firstLineChars="200" w:firstLine="560"/>
        <w:rPr>
          <w:rFonts w:ascii="宋体" w:cs="宋体"/>
          <w:b/>
          <w:bCs/>
          <w:sz w:val="28"/>
          <w:szCs w:val="28"/>
        </w:rPr>
      </w:pPr>
      <w:bookmarkStart w:id="104" w:name="_Toc120199548"/>
      <w:bookmarkStart w:id="105" w:name="_Toc118284411"/>
      <w:r>
        <w:rPr>
          <w:rFonts w:ascii="宋体" w:cs="宋体" w:hint="eastAsia"/>
          <w:b/>
          <w:bCs/>
          <w:sz w:val="28"/>
          <w:szCs w:val="28"/>
        </w:rPr>
        <w:t>（六）技术资料服务</w:t>
      </w:r>
      <w:bookmarkStart w:id="106" w:name="_Toc118284412"/>
      <w:bookmarkEnd w:id="104"/>
      <w:bookmarkEnd w:id="105"/>
    </w:p>
    <w:p>
      <w:pPr>
        <w:spacing w:line="460" w:lineRule="exact"/>
        <w:ind w:firstLineChars="200" w:firstLine="560"/>
        <w:rPr>
          <w:rFonts w:ascii="宋体" w:cs="宋体"/>
          <w:sz w:val="28"/>
          <w:szCs w:val="28"/>
        </w:rPr>
      </w:pPr>
      <w:r>
        <w:rPr>
          <w:rFonts w:ascii="宋体" w:cs="宋体" w:hint="eastAsia"/>
          <w:sz w:val="28"/>
          <w:szCs w:val="28"/>
        </w:rPr>
        <w:t>服务描述</w:t>
      </w:r>
      <w:bookmarkEnd w:id="106"/>
    </w:p>
    <w:p>
      <w:pPr>
        <w:spacing w:line="460" w:lineRule="exact"/>
        <w:ind w:firstLineChars="200" w:firstLine="560"/>
        <w:rPr>
          <w:rFonts w:ascii="宋体" w:cs="宋体"/>
          <w:sz w:val="28"/>
          <w:szCs w:val="28"/>
        </w:rPr>
      </w:pPr>
      <w:r>
        <w:rPr>
          <w:rFonts w:ascii="宋体" w:cs="宋体" w:hint="eastAsia"/>
          <w:sz w:val="28"/>
          <w:szCs w:val="28"/>
        </w:rPr>
        <w:t>供应商为采购人提供保证设备和软件正常运行的必要技术资料。</w:t>
      </w:r>
      <w:bookmarkStart w:id="107" w:name="_Toc118284413"/>
    </w:p>
    <w:p>
      <w:pPr>
        <w:spacing w:line="460" w:lineRule="exact"/>
        <w:ind w:firstLineChars="200" w:firstLine="560"/>
        <w:rPr>
          <w:rFonts w:ascii="宋体" w:cs="宋体"/>
          <w:sz w:val="28"/>
          <w:szCs w:val="28"/>
        </w:rPr>
      </w:pPr>
      <w:r>
        <w:rPr>
          <w:rFonts w:ascii="宋体" w:cs="宋体" w:hint="eastAsia"/>
          <w:sz w:val="28"/>
          <w:szCs w:val="28"/>
        </w:rPr>
        <w:t>服务要求</w:t>
      </w:r>
      <w:bookmarkEnd w:id="107"/>
    </w:p>
    <w:p>
      <w:pPr>
        <w:spacing w:line="460" w:lineRule="exact"/>
        <w:ind w:firstLineChars="200" w:firstLine="560"/>
        <w:rPr>
          <w:rFonts w:ascii="宋体" w:cs="宋体"/>
          <w:sz w:val="28"/>
          <w:szCs w:val="28"/>
        </w:rPr>
      </w:pPr>
      <w:r>
        <w:rPr>
          <w:rFonts w:ascii="宋体" w:cs="宋体" w:hint="eastAsia"/>
          <w:sz w:val="28"/>
          <w:szCs w:val="28"/>
        </w:rPr>
        <w:t>供应商为采购人提供有关产品知识、操作手册、设备和软件运行维护经验、技术文档等资料。常用资料应提供纸质文档。</w:t>
      </w:r>
    </w:p>
    <w:p>
      <w:pPr>
        <w:spacing w:line="460" w:lineRule="exact"/>
        <w:ind w:firstLineChars="200" w:firstLine="560"/>
        <w:rPr>
          <w:rFonts w:ascii="宋体" w:cs="宋体"/>
          <w:sz w:val="28"/>
          <w:szCs w:val="28"/>
        </w:rPr>
      </w:pPr>
      <w:r>
        <w:rPr>
          <w:rFonts w:ascii="宋体" w:cs="宋体" w:hint="eastAsia"/>
          <w:sz w:val="28"/>
          <w:szCs w:val="28"/>
        </w:rPr>
        <w:t>供应商应提供WEB、FTP等方式，保证资料方便共享，并对采购人如何访问该电子资源进行必要的培训。</w:t>
      </w:r>
      <w:bookmarkStart w:id="108" w:name="_Toc118284414"/>
    </w:p>
    <w:p>
      <w:pPr>
        <w:spacing w:line="460" w:lineRule="exact"/>
        <w:ind w:firstLineChars="200" w:firstLine="560"/>
        <w:rPr>
          <w:rFonts w:ascii="宋体" w:cs="宋体"/>
          <w:b/>
          <w:bCs/>
          <w:sz w:val="28"/>
          <w:szCs w:val="28"/>
        </w:rPr>
      </w:pPr>
      <w:bookmarkStart w:id="109" w:name="_Toc120199549"/>
      <w:r>
        <w:rPr>
          <w:rFonts w:ascii="宋体" w:cs="宋体" w:hint="eastAsia"/>
          <w:b/>
          <w:bCs/>
          <w:sz w:val="28"/>
          <w:szCs w:val="28"/>
        </w:rPr>
        <w:t>（其）培训服务</w:t>
      </w:r>
      <w:bookmarkStart w:id="110" w:name="_Toc118284415"/>
      <w:bookmarkEnd w:id="108"/>
      <w:bookmarkEnd w:id="109"/>
    </w:p>
    <w:p>
      <w:pPr>
        <w:spacing w:line="460" w:lineRule="exact"/>
        <w:ind w:firstLineChars="200" w:firstLine="560"/>
        <w:rPr>
          <w:rFonts w:ascii="宋体" w:cs="宋体"/>
          <w:sz w:val="28"/>
          <w:szCs w:val="28"/>
        </w:rPr>
      </w:pPr>
      <w:r>
        <w:rPr>
          <w:rFonts w:ascii="宋体" w:cs="宋体" w:hint="eastAsia"/>
          <w:sz w:val="28"/>
          <w:szCs w:val="28"/>
        </w:rPr>
        <w:t>服务描述</w:t>
      </w:r>
      <w:bookmarkEnd w:id="110"/>
    </w:p>
    <w:p>
      <w:pPr>
        <w:spacing w:line="460" w:lineRule="exact"/>
        <w:ind w:firstLineChars="200" w:firstLine="560"/>
        <w:rPr>
          <w:rFonts w:ascii="宋体" w:cs="宋体"/>
          <w:sz w:val="28"/>
          <w:szCs w:val="28"/>
        </w:rPr>
      </w:pPr>
      <w:r>
        <w:rPr>
          <w:rFonts w:ascii="宋体" w:cs="宋体" w:hint="eastAsia"/>
          <w:sz w:val="28"/>
          <w:szCs w:val="28"/>
        </w:rPr>
        <w:t>培训服务是指根据设备和软件维护的需要，供应商为采购人提供的设备和软件技术培训。培训包括两类，集中培训和现场培训。集中培训是指由供应商提供教材、教师、场地、所需实验设备或软件，采购人参加的培训，一般集中在供应商培训中心进行。现场培训是指经双方协商，在巡检、现场服务等过程中，对供应商进行的培训，供应商提供教材和教师，采购人提供场地和必要的设施。</w:t>
      </w:r>
      <w:bookmarkStart w:id="111" w:name="_Toc118284416"/>
    </w:p>
    <w:p>
      <w:pPr>
        <w:spacing w:line="460" w:lineRule="exact"/>
        <w:ind w:firstLineChars="200" w:firstLine="560"/>
        <w:rPr>
          <w:rFonts w:ascii="宋体" w:cs="宋体"/>
          <w:sz w:val="28"/>
          <w:szCs w:val="28"/>
        </w:rPr>
      </w:pPr>
      <w:r>
        <w:rPr>
          <w:rFonts w:ascii="宋体" w:cs="宋体" w:hint="eastAsia"/>
          <w:sz w:val="28"/>
          <w:szCs w:val="28"/>
        </w:rPr>
        <w:t>服务要求</w:t>
      </w:r>
      <w:bookmarkEnd w:id="111"/>
    </w:p>
    <w:p>
      <w:pPr>
        <w:spacing w:line="460" w:lineRule="exact"/>
        <w:ind w:firstLineChars="200" w:firstLine="560"/>
        <w:rPr>
          <w:rFonts w:ascii="宋体" w:cs="宋体"/>
          <w:sz w:val="28"/>
          <w:szCs w:val="28"/>
        </w:rPr>
      </w:pPr>
      <w:r>
        <w:rPr>
          <w:rFonts w:ascii="宋体" w:cs="宋体" w:hint="eastAsia"/>
          <w:sz w:val="28"/>
          <w:szCs w:val="28"/>
        </w:rPr>
        <w:t>对于现场培训，如果采购人要求，供应商应就现场服务中故障发生的原因、处理过程、以及类似故障的预防和处理经验对采购人提供必要的培训；</w:t>
      </w:r>
    </w:p>
    <w:p>
      <w:pPr>
        <w:spacing w:line="460" w:lineRule="exact"/>
        <w:ind w:firstLineChars="200" w:firstLine="560"/>
        <w:rPr>
          <w:rFonts w:ascii="宋体" w:cs="宋体"/>
          <w:sz w:val="28"/>
          <w:szCs w:val="28"/>
        </w:rPr>
      </w:pPr>
      <w:r>
        <w:rPr>
          <w:rFonts w:ascii="宋体" w:cs="宋体" w:hint="eastAsia"/>
          <w:sz w:val="28"/>
          <w:szCs w:val="28"/>
        </w:rPr>
        <w:t>对于集中培训，要求供应商针对采购人的实际需要，在维保期内分别提供以下两种集中培训服务：</w:t>
      </w:r>
    </w:p>
    <w:p>
      <w:pPr>
        <w:spacing w:line="460" w:lineRule="exact"/>
        <w:ind w:firstLineChars="200" w:firstLine="560"/>
        <w:rPr>
          <w:rFonts w:ascii="宋体" w:cs="宋体"/>
          <w:sz w:val="28"/>
          <w:szCs w:val="28"/>
        </w:rPr>
      </w:pPr>
      <w:r>
        <w:rPr>
          <w:rFonts w:ascii="宋体" w:cs="宋体" w:hint="eastAsia"/>
          <w:sz w:val="28"/>
          <w:szCs w:val="28"/>
        </w:rPr>
        <w:t>集中培训：供应商向采购人提供每年1次集中培训，每次培训人员不少于2人，培训时间为1天。供应商提供培训地点、教材、设备、教师、场地（参加培训人员食宿费用由采购人自理）。</w:t>
      </w:r>
    </w:p>
    <w:p>
      <w:pPr>
        <w:spacing w:line="460" w:lineRule="exact"/>
        <w:ind w:firstLineChars="200" w:firstLine="560"/>
        <w:rPr>
          <w:rFonts w:ascii="宋体" w:cs="宋体"/>
          <w:sz w:val="28"/>
          <w:szCs w:val="28"/>
        </w:rPr>
      </w:pPr>
      <w:r>
        <w:rPr>
          <w:rFonts w:ascii="宋体" w:cs="宋体" w:hint="eastAsia"/>
          <w:sz w:val="28"/>
          <w:szCs w:val="28"/>
        </w:rPr>
        <w:t>具体培训内容由采购人和供应商协商确定</w:t>
      </w:r>
      <w:bookmarkStart w:id="112" w:name="_Toc118284417"/>
      <w:r>
        <w:rPr>
          <w:rFonts w:ascii="宋体" w:cs="宋体" w:hint="eastAsia"/>
          <w:sz w:val="28"/>
          <w:szCs w:val="28"/>
        </w:rPr>
        <w:t>。</w:t>
      </w:r>
    </w:p>
    <w:p>
      <w:pPr>
        <w:spacing w:line="460" w:lineRule="exact"/>
        <w:ind w:firstLineChars="200" w:firstLine="560"/>
        <w:rPr>
          <w:rFonts w:ascii="宋体" w:cs="宋体"/>
          <w:b/>
          <w:bCs/>
          <w:sz w:val="28"/>
          <w:szCs w:val="28"/>
        </w:rPr>
      </w:pPr>
      <w:bookmarkStart w:id="113" w:name="_Toc120199550"/>
      <w:r>
        <w:rPr>
          <w:rFonts w:ascii="宋体" w:cs="宋体" w:hint="eastAsia"/>
          <w:b/>
          <w:bCs/>
          <w:sz w:val="28"/>
          <w:szCs w:val="28"/>
        </w:rPr>
        <w:t>(八）重点保障服务</w:t>
      </w:r>
      <w:bookmarkStart w:id="114" w:name="_Toc118284418"/>
      <w:bookmarkEnd w:id="112"/>
      <w:bookmarkEnd w:id="113"/>
    </w:p>
    <w:p>
      <w:pPr>
        <w:spacing w:line="460" w:lineRule="exact"/>
        <w:ind w:firstLineChars="200" w:firstLine="560"/>
        <w:rPr>
          <w:rFonts w:ascii="宋体" w:cs="宋体"/>
          <w:sz w:val="28"/>
          <w:szCs w:val="28"/>
        </w:rPr>
      </w:pPr>
      <w:r>
        <w:rPr>
          <w:rFonts w:ascii="宋体" w:cs="宋体" w:hint="eastAsia"/>
          <w:sz w:val="28"/>
          <w:szCs w:val="28"/>
        </w:rPr>
        <w:t>服务描述</w:t>
      </w:r>
      <w:bookmarkEnd w:id="114"/>
    </w:p>
    <w:p>
      <w:pPr>
        <w:spacing w:line="460" w:lineRule="exact"/>
        <w:ind w:firstLineChars="200" w:firstLine="560"/>
        <w:rPr>
          <w:rFonts w:ascii="宋体" w:cs="宋体"/>
          <w:sz w:val="28"/>
          <w:szCs w:val="28"/>
        </w:rPr>
      </w:pPr>
      <w:r>
        <w:rPr>
          <w:rFonts w:ascii="宋体" w:cs="宋体" w:hint="eastAsia"/>
          <w:sz w:val="28"/>
          <w:szCs w:val="28"/>
        </w:rPr>
        <w:t>采购人根据需要向供应商提出主会场重点保障服务请求，供应商收到请求后与采购人共同制定重点保障期间的设备和软件保障方案。</w:t>
      </w:r>
      <w:bookmarkStart w:id="115" w:name="_Toc118284419"/>
      <w:r>
        <w:rPr>
          <w:rFonts w:ascii="宋体" w:cs="宋体" w:hint="eastAsia"/>
          <w:sz w:val="28"/>
          <w:szCs w:val="28"/>
        </w:rPr>
        <w:t>每次重点保障服务包含联调服务及会议现场服务。</w:t>
      </w:r>
    </w:p>
    <w:p>
      <w:pPr>
        <w:spacing w:line="460" w:lineRule="exact"/>
        <w:ind w:firstLineChars="200" w:firstLine="560"/>
        <w:rPr>
          <w:rFonts w:ascii="宋体" w:cs="宋体"/>
          <w:sz w:val="28"/>
          <w:szCs w:val="28"/>
        </w:rPr>
      </w:pPr>
      <w:r>
        <w:rPr>
          <w:rFonts w:ascii="宋体" w:cs="宋体" w:hint="eastAsia"/>
          <w:sz w:val="28"/>
          <w:szCs w:val="28"/>
        </w:rPr>
        <w:t>服务要求</w:t>
      </w:r>
      <w:bookmarkEnd w:id="115"/>
    </w:p>
    <w:p>
      <w:pPr>
        <w:spacing w:line="460" w:lineRule="exact"/>
        <w:ind w:firstLineChars="200" w:firstLine="560"/>
        <w:rPr>
          <w:rFonts w:ascii="宋体" w:cs="宋体"/>
          <w:sz w:val="28"/>
          <w:szCs w:val="28"/>
        </w:rPr>
      </w:pPr>
      <w:r>
        <w:rPr>
          <w:rFonts w:ascii="宋体" w:cs="宋体" w:hint="eastAsia"/>
          <w:sz w:val="28"/>
          <w:szCs w:val="28"/>
        </w:rPr>
        <w:t>重点保障期间指重大会议、设备或软件存在故障隐患期间等。在重点保障期间，如有必要，供应商需指定专业技术较强、经验丰富的工程师到现场完成重点保障服务，此服务按照现场服务标准。在维保期限内，采购人根据需要向供应商提出此类服务的日期和时间，供应商必须服从。</w:t>
      </w:r>
    </w:p>
    <w:p>
      <w:pPr>
        <w:pStyle w:val="21"/>
        <w:spacing w:line="460" w:lineRule="exact"/>
        <w:ind w:firstLineChars="200" w:firstLine="560"/>
        <w:rPr>
          <w:rFonts w:ascii="宋体" w:cs="宋体"/>
          <w:b/>
          <w:szCs w:val="28"/>
        </w:rPr>
      </w:pPr>
      <w:r>
        <w:rPr>
          <w:rFonts w:ascii="宋体" w:cs="宋体" w:hint="eastAsia"/>
          <w:b/>
          <w:szCs w:val="28"/>
        </w:rPr>
        <w:t>三、付款方式</w:t>
      </w:r>
    </w:p>
    <w:p>
      <w:pPr>
        <w:spacing w:line="600" w:lineRule="exact"/>
        <w:ind w:firstLineChars="200" w:firstLine="560"/>
        <w:rPr>
          <w:rFonts w:ascii="宋体" w:cs="宋体"/>
          <w:sz w:val="28"/>
          <w:szCs w:val="28"/>
          <w:highlight w:val="auto"/>
        </w:rPr>
      </w:pPr>
      <w:r>
        <w:rPr>
          <w:rFonts w:ascii="宋体" w:cs="宋体" w:hint="eastAsia"/>
          <w:color w:val="FF0000"/>
          <w:sz w:val="28"/>
          <w:szCs w:val="28"/>
          <w:lang w:eastAsia="zh-CN"/>
          <w:highlight w:val="auto"/>
        </w:rPr>
        <w:t>合同签订后</w:t>
      </w:r>
      <w:r>
        <w:rPr>
          <w:rFonts w:ascii="宋体" w:cs="宋体" w:hint="eastAsia"/>
          <w:color w:val="FF0000"/>
          <w:sz w:val="28"/>
          <w:szCs w:val="28"/>
          <w:highlight w:val="auto"/>
        </w:rPr>
        <w:t>10个工作日</w:t>
      </w:r>
      <w:r>
        <w:rPr>
          <w:rFonts w:ascii="宋体" w:cs="宋体" w:hint="eastAsia"/>
          <w:sz w:val="28"/>
          <w:szCs w:val="28"/>
          <w:highlight w:val="auto"/>
        </w:rPr>
        <w:t>内甲方在收到乙方开具的发票后向乙方支付合同总款的50%；在维护期内，乙方能够圆满完成项目的各项维护要求，由甲方在合同到期前7日内支付维护费用总额的其余50%。</w:t>
      </w:r>
    </w:p>
    <w:p>
      <w:pPr>
        <w:pStyle w:val="21"/>
        <w:spacing w:line="460" w:lineRule="exact"/>
        <w:ind w:firstLineChars="200" w:firstLine="560"/>
        <w:rPr>
          <w:rFonts w:ascii="宋体" w:cs="宋体"/>
          <w:szCs w:val="28"/>
        </w:rPr>
      </w:pPr>
    </w:p>
    <w:p>
      <w:pPr>
        <w:spacing w:line="460" w:lineRule="exact"/>
        <w:jc w:val="center"/>
        <w:rPr>
          <w:rFonts w:ascii="宋体" w:cs="宋体"/>
          <w:b/>
          <w:sz w:val="32"/>
          <w:szCs w:val="32"/>
        </w:rPr>
      </w:pPr>
      <w:r>
        <w:rPr>
          <w:bCs/>
        </w:rPr>
        <w:br w:type="page"/>
      </w:r>
      <w:r>
        <w:rPr>
          <w:rFonts w:ascii="宋体" w:cs="宋体" w:hint="eastAsia"/>
          <w:bCs/>
          <w:sz w:val="36"/>
          <w:szCs w:val="36"/>
        </w:rPr>
        <w:t>第四部分 评审方法和评审标准</w:t>
      </w:r>
    </w:p>
    <w:p>
      <w:pPr>
        <w:adjustRightInd w:val="0"/>
        <w:snapToGrid w:val="0"/>
        <w:spacing w:line="460" w:lineRule="exact"/>
        <w:ind w:firstLineChars="200" w:firstLine="560"/>
        <w:jc w:val="left"/>
        <w:textAlignment w:val="baseline"/>
        <w:outlineLvl w:val="1"/>
        <w:rPr>
          <w:rFonts w:ascii="宋体" w:cs="宋体"/>
          <w:b/>
          <w:sz w:val="28"/>
          <w:szCs w:val="28"/>
        </w:rPr>
      </w:pPr>
      <w:r>
        <w:rPr>
          <w:rFonts w:ascii="宋体" w:cs="宋体" w:hint="eastAsia"/>
          <w:b/>
          <w:sz w:val="28"/>
          <w:szCs w:val="28"/>
        </w:rPr>
        <w:t>一、</w:t>
      </w:r>
      <w:r>
        <w:rPr>
          <w:rFonts w:ascii="宋体" w:cs="宋体" w:hint="eastAsia"/>
          <w:bCs/>
          <w:sz w:val="28"/>
          <w:szCs w:val="28"/>
        </w:rPr>
        <w:t>磋商方式</w:t>
      </w:r>
    </w:p>
    <w:p>
      <w:pPr>
        <w:tabs>
          <w:tab w:val="left" w:pos="3585"/>
        </w:tabs>
        <w:adjustRightInd w:val="0"/>
        <w:snapToGrid w:val="0"/>
        <w:spacing w:line="460" w:lineRule="exact"/>
        <w:ind w:firstLineChars="192" w:firstLine="538"/>
        <w:rPr>
          <w:rFonts w:ascii="宋体" w:cs="宋体"/>
          <w:sz w:val="28"/>
          <w:szCs w:val="28"/>
        </w:rPr>
      </w:pPr>
      <w:r>
        <w:rPr>
          <w:rFonts w:ascii="宋体" w:cs="宋体" w:hint="eastAsia"/>
          <w:sz w:val="28"/>
          <w:szCs w:val="28"/>
        </w:rPr>
        <w:t>见面磋商模式：供应商在采购文件规定的时间和地点参加磋商活动。</w:t>
      </w:r>
    </w:p>
    <w:p>
      <w:pPr>
        <w:adjustRightInd w:val="0"/>
        <w:snapToGrid w:val="0"/>
        <w:spacing w:line="460" w:lineRule="exact"/>
        <w:ind w:firstLineChars="200" w:firstLine="560"/>
        <w:jc w:val="left"/>
        <w:textAlignment w:val="baseline"/>
        <w:outlineLvl w:val="1"/>
        <w:rPr>
          <w:rFonts w:ascii="宋体" w:cs="宋体"/>
          <w:sz w:val="28"/>
          <w:szCs w:val="28"/>
        </w:rPr>
      </w:pPr>
      <w:r>
        <w:rPr>
          <w:rFonts w:ascii="宋体" w:cs="宋体" w:hint="eastAsia"/>
          <w:b/>
          <w:sz w:val="28"/>
          <w:szCs w:val="28"/>
        </w:rPr>
        <w:t>二、</w:t>
      </w:r>
      <w:r>
        <w:rPr>
          <w:rFonts w:ascii="宋体" w:cs="宋体" w:hint="eastAsia"/>
          <w:sz w:val="28"/>
          <w:szCs w:val="28"/>
        </w:rPr>
        <w:t>磋商程序及评审方法和标准</w:t>
      </w:r>
    </w:p>
    <w:p>
      <w:pPr>
        <w:adjustRightInd w:val="0"/>
        <w:snapToGrid w:val="0"/>
        <w:spacing w:line="460" w:lineRule="exact"/>
        <w:ind w:firstLineChars="247" w:firstLine="692"/>
        <w:rPr>
          <w:rFonts w:ascii="宋体" w:cs="宋体"/>
          <w:bCs/>
          <w:sz w:val="28"/>
          <w:szCs w:val="28"/>
        </w:rPr>
      </w:pPr>
      <w:r>
        <w:rPr>
          <w:rFonts w:ascii="宋体" w:cs="宋体" w:hint="eastAsia"/>
          <w:bCs/>
          <w:sz w:val="28"/>
          <w:szCs w:val="28"/>
        </w:rPr>
        <w:t>1.评审方法：综合评分法，经磋商确定最终采购需求和提交最后报价的供应商后，由磋商小组采用综合评分法对提交最后报价的供应商的响应文件和最后报价进行综合评分。</w:t>
      </w:r>
    </w:p>
    <w:p>
      <w:pPr>
        <w:adjustRightInd w:val="0"/>
        <w:snapToGrid w:val="0"/>
        <w:spacing w:line="460" w:lineRule="exact"/>
        <w:ind w:firstLineChars="250" w:firstLine="700"/>
        <w:rPr>
          <w:rFonts w:ascii="宋体" w:cs="宋体"/>
          <w:bCs/>
          <w:sz w:val="28"/>
          <w:szCs w:val="28"/>
        </w:rPr>
      </w:pPr>
      <w:r>
        <w:rPr>
          <w:rFonts w:ascii="宋体" w:cs="宋体" w:hint="eastAsia"/>
          <w:bCs/>
          <w:sz w:val="28"/>
          <w:szCs w:val="28"/>
        </w:rPr>
        <w:t xml:space="preserve">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  </w:t>
      </w:r>
    </w:p>
    <w:p>
      <w:pPr>
        <w:adjustRightInd w:val="0"/>
        <w:snapToGrid w:val="0"/>
        <w:spacing w:line="460" w:lineRule="exact"/>
        <w:ind w:firstLineChars="200" w:firstLine="560"/>
        <w:rPr>
          <w:rFonts w:ascii="宋体" w:cs="宋体"/>
          <w:bCs/>
          <w:sz w:val="28"/>
          <w:szCs w:val="28"/>
        </w:rPr>
      </w:pPr>
      <w:r>
        <w:rPr>
          <w:rFonts w:ascii="宋体" w:cs="宋体" w:hint="eastAsia"/>
          <w:bCs/>
          <w:sz w:val="28"/>
          <w:szCs w:val="28"/>
        </w:rPr>
        <w:t>商务技术部分评审结束后进入最后报价环节，最后报价将作为评审价。代理机构发送最后报价填报通知后，所有的响应供应商须在15分钟内填写并提交最后报价，未在规定时间内提交最后报价的，视作无效响应处理。</w:t>
      </w:r>
    </w:p>
    <w:p>
      <w:pPr>
        <w:adjustRightInd w:val="0"/>
        <w:snapToGrid w:val="0"/>
        <w:spacing w:line="460" w:lineRule="exact"/>
        <w:ind w:firstLine="555"/>
        <w:rPr>
          <w:rFonts w:ascii="宋体" w:cs="宋体"/>
          <w:sz w:val="28"/>
          <w:szCs w:val="28"/>
        </w:rPr>
      </w:pPr>
      <w:r>
        <w:rPr>
          <w:rFonts w:ascii="宋体" w:cs="宋体" w:hint="eastAsia"/>
          <w:sz w:val="28"/>
          <w:szCs w:val="28"/>
        </w:rPr>
        <w:t>供应商商务、技术部分和价格部分的合计分值，为该供应商的评审总得分。</w:t>
      </w:r>
    </w:p>
    <w:p>
      <w:pPr>
        <w:adjustRightInd w:val="0"/>
        <w:snapToGrid w:val="0"/>
        <w:spacing w:line="460" w:lineRule="exact"/>
        <w:ind w:firstLine="555"/>
        <w:rPr>
          <w:rFonts w:ascii="宋体" w:cs="宋体"/>
          <w:sz w:val="28"/>
          <w:szCs w:val="28"/>
        </w:rPr>
      </w:pPr>
      <w:r>
        <w:rPr>
          <w:rFonts w:ascii="宋体" w:cs="宋体" w:hint="eastAsia"/>
          <w:sz w:val="28"/>
          <w:szCs w:val="28"/>
        </w:rPr>
        <w:t>评审结果按评审后得分由高到低顺序排列。得分相同的，按响应报价由低到高顺序排列。得分且响应报价相同的并列。响应文件满足磋商文件全部实质性要求，且按照评审因素的量化指标评审得分前三名的供应商为成交候选人。</w:t>
      </w:r>
    </w:p>
    <w:p>
      <w:pPr>
        <w:adjustRightInd w:val="0"/>
        <w:snapToGrid w:val="0"/>
        <w:spacing w:line="460" w:lineRule="exact"/>
        <w:ind w:firstLine="555"/>
        <w:rPr>
          <w:rFonts w:ascii="宋体" w:cs="宋体"/>
          <w:sz w:val="28"/>
          <w:szCs w:val="28"/>
        </w:rPr>
      </w:pPr>
      <w:r>
        <w:rPr>
          <w:rFonts w:ascii="宋体" w:cs="宋体" w:hint="eastAsia"/>
          <w:sz w:val="28"/>
          <w:szCs w:val="28"/>
        </w:rPr>
        <w:t>评委在认真审阅响应文件的基础上，根据各响应文件的响应程度独立评判，不得统一打分。</w:t>
      </w:r>
    </w:p>
    <w:p>
      <w:pPr>
        <w:adjustRightInd w:val="0"/>
        <w:snapToGrid w:val="0"/>
        <w:spacing w:line="460" w:lineRule="exact"/>
        <w:ind w:firstLine="555"/>
        <w:rPr>
          <w:rFonts w:ascii="宋体" w:cs="宋体"/>
          <w:sz w:val="28"/>
          <w:szCs w:val="28"/>
        </w:rPr>
      </w:pPr>
      <w:r>
        <w:rPr>
          <w:rFonts w:ascii="宋体" w:cs="宋体" w:hint="eastAsia"/>
          <w:sz w:val="28"/>
          <w:szCs w:val="28"/>
        </w:rPr>
        <w:t>技术商务部分评审结束后，再开启最后报价计算分值。总分值为100分，加分和减分因素除外。</w:t>
      </w:r>
    </w:p>
    <w:p>
      <w:pPr>
        <w:adjustRightInd w:val="0"/>
        <w:snapToGrid w:val="0"/>
        <w:spacing w:line="460" w:lineRule="exact"/>
        <w:ind w:firstLineChars="206" w:firstLine="577"/>
        <w:outlineLvl w:val="2"/>
        <w:rPr>
          <w:rFonts w:ascii="宋体" w:cs="宋体"/>
          <w:b/>
          <w:sz w:val="28"/>
          <w:szCs w:val="28"/>
        </w:rPr>
      </w:pPr>
      <w:r>
        <w:rPr>
          <w:rFonts w:ascii="宋体" w:cs="宋体" w:hint="eastAsia"/>
          <w:b/>
          <w:sz w:val="28"/>
          <w:szCs w:val="28"/>
        </w:rPr>
        <w:t>（一）采购人（代表）对供应商资格进行审查。</w:t>
      </w:r>
    </w:p>
    <w:p>
      <w:pPr>
        <w:adjustRightInd w:val="0"/>
        <w:snapToGrid w:val="0"/>
        <w:spacing w:line="460" w:lineRule="exact"/>
        <w:ind w:firstLineChars="206" w:firstLine="577"/>
        <w:rPr>
          <w:rFonts w:ascii="宋体" w:cs="宋体"/>
          <w:kern w:val="0"/>
          <w:sz w:val="28"/>
          <w:szCs w:val="28"/>
        </w:rPr>
      </w:pPr>
      <w:r>
        <w:rPr>
          <w:rFonts w:ascii="宋体" w:cs="宋体" w:hint="eastAsia"/>
          <w:kern w:val="0"/>
          <w:sz w:val="28"/>
          <w:szCs w:val="28"/>
        </w:rPr>
        <w:t>供应商资格不合格的，其响应文件判定为无效响应文件。</w:t>
      </w:r>
    </w:p>
    <w:p>
      <w:pPr>
        <w:adjustRightInd w:val="0"/>
        <w:snapToGrid w:val="0"/>
        <w:spacing w:line="460" w:lineRule="exact"/>
        <w:ind w:firstLineChars="206" w:firstLine="577"/>
        <w:outlineLvl w:val="2"/>
        <w:rPr>
          <w:rFonts w:ascii="宋体" w:cs="宋体"/>
          <w:b/>
          <w:sz w:val="28"/>
          <w:szCs w:val="28"/>
        </w:rPr>
      </w:pPr>
      <w:r>
        <w:rPr>
          <w:rFonts w:ascii="宋体" w:cs="宋体" w:hint="eastAsia"/>
          <w:b/>
          <w:sz w:val="28"/>
          <w:szCs w:val="28"/>
        </w:rPr>
        <w:t>（二）磋商小组对符合资格供应商的响应文件进行符合性审查。</w:t>
      </w:r>
    </w:p>
    <w:p>
      <w:pPr>
        <w:adjustRightInd w:val="0"/>
        <w:snapToGrid w:val="0"/>
        <w:spacing w:line="460" w:lineRule="exact"/>
        <w:ind w:firstLineChars="206" w:firstLine="577"/>
        <w:rPr>
          <w:rFonts w:ascii="宋体" w:cs="宋体"/>
          <w:kern w:val="0"/>
          <w:sz w:val="28"/>
          <w:szCs w:val="28"/>
        </w:rPr>
      </w:pPr>
      <w:r>
        <w:rPr>
          <w:rFonts w:ascii="宋体" w:cs="宋体" w:hint="eastAsia"/>
          <w:kern w:val="0"/>
          <w:sz w:val="28"/>
          <w:szCs w:val="28"/>
        </w:rPr>
        <w:t xml:space="preserve">未通过符合性审查的响应文件，将被判为不满足磋商文件实质性要求。 </w:t>
      </w:r>
    </w:p>
    <w:p>
      <w:pPr>
        <w:adjustRightInd w:val="0"/>
        <w:snapToGrid w:val="0"/>
        <w:spacing w:line="460" w:lineRule="exact"/>
        <w:ind w:firstLineChars="200" w:firstLine="560"/>
        <w:jc w:val="left"/>
        <w:outlineLvl w:val="2"/>
        <w:rPr>
          <w:rFonts w:ascii="宋体" w:cs="宋体"/>
          <w:sz w:val="28"/>
          <w:szCs w:val="28"/>
          <w:lang w:val="zh-CN"/>
        </w:rPr>
      </w:pPr>
      <w:r>
        <w:rPr>
          <w:rFonts w:ascii="宋体" w:cs="宋体" w:hint="eastAsia"/>
          <w:sz w:val="28"/>
          <w:szCs w:val="28"/>
          <w:lang w:val="zh-CN"/>
        </w:rPr>
        <w:t>（三）商务技术分</w:t>
      </w:r>
      <w:r>
        <w:rPr>
          <w:rFonts w:ascii="宋体" w:cs="宋体" w:hint="eastAsia"/>
          <w:sz w:val="28"/>
          <w:szCs w:val="28"/>
          <w:lang w:val="zh-CN"/>
          <w:highlight w:val="auto"/>
        </w:rPr>
        <w:t>：</w:t>
      </w:r>
      <w:r>
        <w:rPr>
          <w:rFonts w:ascii="宋体" w:cs="宋体" w:hint="eastAsia"/>
          <w:sz w:val="28"/>
          <w:szCs w:val="28"/>
          <w:highlight w:val="auto"/>
        </w:rPr>
        <w:t>80</w:t>
      </w:r>
      <w:r>
        <w:rPr>
          <w:rFonts w:ascii="宋体" w:cs="宋体" w:hint="eastAsia"/>
          <w:sz w:val="28"/>
          <w:szCs w:val="28"/>
          <w:lang w:val="zh-CN"/>
          <w:highlight w:val="auto"/>
        </w:rPr>
        <w:t>分</w:t>
      </w:r>
    </w:p>
    <w:p>
      <w:pPr>
        <w:adjustRightInd w:val="0"/>
        <w:snapToGrid w:val="0"/>
        <w:spacing w:line="460" w:lineRule="exact"/>
        <w:ind w:firstLineChars="250" w:firstLine="700"/>
        <w:jc w:val="left"/>
        <w:rPr>
          <w:rFonts w:ascii="宋体" w:cs="宋体"/>
          <w:sz w:val="28"/>
          <w:szCs w:val="28"/>
        </w:rPr>
      </w:pPr>
      <w:r>
        <w:rPr>
          <w:rFonts w:ascii="宋体" w:cs="宋体" w:hint="eastAsia"/>
          <w:sz w:val="28"/>
          <w:szCs w:val="28"/>
        </w:rPr>
        <w:t>各供应商得分为磋商小组成员评分的算术平均分，分值保留小数点后两位。</w:t>
      </w:r>
    </w:p>
    <w:tbl>
      <w:tblPr>
        <w:jc w:val="cente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740"/>
        <w:gridCol w:w="1589"/>
        <w:gridCol w:w="764"/>
        <w:gridCol w:w="5427"/>
      </w:tblGrid>
      <w:tr>
        <w:trPr>
          <w:trHeight w:val="476"/>
        </w:trPr>
        <w:tc>
          <w:tcPr>
            <w:tcW w:w="434" w:type="pct"/>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cs="宋体"/>
                <w:b/>
                <w:sz w:val="24"/>
              </w:rPr>
            </w:pPr>
            <w:r>
              <w:rPr>
                <w:rFonts w:ascii="宋体" w:cs="宋体" w:hint="eastAsia"/>
                <w:b/>
                <w:sz w:val="24"/>
              </w:rPr>
              <w:t>类别</w:t>
            </w:r>
          </w:p>
        </w:tc>
        <w:tc>
          <w:tcPr>
            <w:tcW w:w="932" w:type="pct"/>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cs="宋体"/>
                <w:b/>
                <w:sz w:val="24"/>
              </w:rPr>
            </w:pPr>
            <w:r>
              <w:rPr>
                <w:rFonts w:ascii="宋体" w:cs="宋体" w:hint="eastAsia"/>
                <w:b/>
                <w:sz w:val="24"/>
              </w:rPr>
              <w:t>评审项目</w:t>
            </w:r>
          </w:p>
        </w:tc>
        <w:tc>
          <w:tcPr>
            <w:tcW w:w="448" w:type="pct"/>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cs="宋体"/>
                <w:b/>
                <w:spacing w:val="-8"/>
                <w:sz w:val="24"/>
              </w:rPr>
            </w:pPr>
            <w:r>
              <w:rPr>
                <w:rFonts w:ascii="宋体" w:cs="宋体" w:hint="eastAsia"/>
                <w:b/>
                <w:spacing w:val="-8"/>
                <w:sz w:val="24"/>
              </w:rPr>
              <w:t>标准分</w:t>
            </w:r>
          </w:p>
        </w:tc>
        <w:tc>
          <w:tcPr>
            <w:tcW w:w="3183" w:type="pct"/>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cs="宋体"/>
                <w:b/>
                <w:sz w:val="24"/>
              </w:rPr>
            </w:pPr>
            <w:r>
              <w:rPr>
                <w:rFonts w:ascii="宋体" w:cs="宋体" w:hint="eastAsia"/>
                <w:b/>
                <w:sz w:val="24"/>
              </w:rPr>
              <w:t>评分标准</w:t>
            </w:r>
          </w:p>
        </w:tc>
      </w:tr>
      <w:tr>
        <w:trPr>
          <w:trHeight w:val="595"/>
        </w:trPr>
        <w:tc>
          <w:tcPr>
            <w:tcW w:w="434" w:type="pct"/>
            <w:vMerge w:val="restart"/>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cs="宋体"/>
                <w:b/>
                <w:sz w:val="24"/>
              </w:rPr>
            </w:pPr>
            <w:r>
              <w:rPr>
                <w:rFonts w:ascii="宋体" w:cs="宋体" w:hint="eastAsia"/>
                <w:b/>
                <w:sz w:val="24"/>
              </w:rPr>
              <w:t>技术部分</w:t>
            </w:r>
          </w:p>
        </w:tc>
        <w:tc>
          <w:tcPr>
            <w:tcW w:w="932"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cs="宋体"/>
                <w:b/>
                <w:kern w:val="0"/>
                <w:sz w:val="24"/>
              </w:rPr>
            </w:pPr>
            <w:r>
              <w:rPr>
                <w:rFonts w:ascii="宋体" w:cs="宋体" w:hint="eastAsia"/>
                <w:b/>
                <w:kern w:val="0"/>
                <w:sz w:val="24"/>
              </w:rPr>
              <w:t>运行维护服务方案</w:t>
            </w:r>
          </w:p>
          <w:p>
            <w:pPr>
              <w:adjustRightInd w:val="0"/>
              <w:snapToGrid w:val="0"/>
              <w:jc w:val="center"/>
              <w:rPr>
                <w:rFonts w:ascii="宋体" w:cs="宋体"/>
                <w:b/>
                <w:sz w:val="24"/>
              </w:rPr>
            </w:pPr>
          </w:p>
        </w:tc>
        <w:tc>
          <w:tcPr>
            <w:tcW w:w="448" w:type="pct"/>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cs="宋体"/>
                <w:b/>
                <w:sz w:val="24"/>
              </w:rPr>
            </w:pPr>
            <w:r>
              <w:rPr>
                <w:rFonts w:ascii="宋体" w:cs="宋体" w:hint="eastAsia"/>
                <w:b/>
                <w:sz w:val="24"/>
              </w:rPr>
              <w:t>10</w:t>
            </w:r>
          </w:p>
        </w:tc>
        <w:tc>
          <w:tcPr>
            <w:tcW w:w="3183" w:type="pct"/>
            <w:tcBorders>
              <w:top w:val="single" w:sz="4" w:space="0" w:color="auto"/>
              <w:left w:val="single" w:sz="4" w:space="0" w:color="auto"/>
              <w:bottom w:val="single" w:sz="4" w:space="0" w:color="auto"/>
              <w:right w:val="single" w:sz="4" w:space="0" w:color="auto"/>
            </w:tcBorders>
            <w:noWrap/>
          </w:tcPr>
          <w:p>
            <w:pPr>
              <w:rPr>
                <w:rFonts w:ascii="宋体" w:cs="宋体"/>
                <w:sz w:val="24"/>
              </w:rPr>
            </w:pPr>
            <w:r>
              <w:rPr>
                <w:rFonts w:ascii="宋体" w:cs="宋体" w:hint="eastAsia"/>
                <w:sz w:val="24"/>
              </w:rPr>
              <w:t>供应商需对本项目服务内容充分理解，且对服务内容及要求中的服务需求做出实质性响应，运维维护服务方案详细、管理制度和流程完整、项目管理体系规范、时间安排合理、组织架构完备得10分；运维维护服务方案较详细、管理制度和流程较完整、项目管理体系较规范、时间安排较合理、组织架构较完备得6分；运维维护服务方案欠缺、管理制度和流程错杂、项目管理体系不完整、时间安排不恰当、组织架构复杂得2分</w:t>
            </w:r>
          </w:p>
        </w:tc>
      </w:tr>
      <w:tr>
        <w:trPr>
          <w:trHeight w:val="595"/>
        </w:trPr>
        <w:tc>
          <w:tcPr>
            <w:tcW w:w="434" w:type="pct"/>
            <w:vMerge/>
            <w:tcBorders>
              <w:top w:val="single" w:sz="4" w:space="0" w:color="auto"/>
              <w:left w:val="single" w:sz="4" w:space="0" w:color="auto"/>
              <w:bottom w:val="single" w:sz="4" w:space="0" w:color="auto"/>
              <w:right w:val="single" w:sz="4" w:space="0" w:color="auto"/>
            </w:tcBorders>
            <w:noWrap/>
            <w:vAlign w:val="center"/>
          </w:tcPr>
          <w:p/>
        </w:tc>
        <w:tc>
          <w:tcPr>
            <w:tcW w:w="932" w:type="pct"/>
            <w:tcBorders>
              <w:top w:val="single" w:sz="4" w:space="0" w:color="auto"/>
              <w:left w:val="single" w:sz="4" w:space="0" w:color="auto"/>
              <w:bottom w:val="single" w:sz="4" w:space="0" w:color="auto"/>
              <w:right w:val="single" w:sz="4" w:space="0" w:color="auto"/>
            </w:tcBorders>
            <w:noWrap/>
            <w:vAlign w:val="center"/>
          </w:tcPr>
          <w:p>
            <w:pPr>
              <w:adjustRightInd w:val="0"/>
              <w:snapToGrid w:val="0"/>
              <w:jc w:val="left"/>
              <w:rPr>
                <w:rFonts w:ascii="宋体" w:cs="宋体"/>
                <w:b/>
                <w:sz w:val="24"/>
              </w:rPr>
            </w:pPr>
            <w:r>
              <w:rPr>
                <w:rFonts w:ascii="宋体" w:cs="宋体" w:hint="eastAsia"/>
                <w:b/>
                <w:sz w:val="24"/>
              </w:rPr>
              <w:t>对接方案说明</w:t>
            </w:r>
          </w:p>
        </w:tc>
        <w:tc>
          <w:tcPr>
            <w:tcW w:w="448" w:type="pct"/>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cs="宋体"/>
                <w:b/>
                <w:sz w:val="24"/>
              </w:rPr>
            </w:pPr>
            <w:r>
              <w:rPr>
                <w:rFonts w:ascii="宋体" w:cs="宋体" w:hint="eastAsia"/>
                <w:b/>
                <w:sz w:val="24"/>
              </w:rPr>
              <w:t>10</w:t>
            </w:r>
          </w:p>
        </w:tc>
        <w:tc>
          <w:tcPr>
            <w:tcW w:w="3183" w:type="pct"/>
            <w:tcBorders>
              <w:top w:val="single" w:sz="4" w:space="0" w:color="auto"/>
              <w:left w:val="single" w:sz="4" w:space="0" w:color="auto"/>
              <w:bottom w:val="single" w:sz="4" w:space="0" w:color="auto"/>
              <w:right w:val="single" w:sz="4" w:space="0" w:color="auto"/>
            </w:tcBorders>
            <w:noWrap/>
          </w:tcPr>
          <w:p>
            <w:pPr>
              <w:rPr>
                <w:rFonts w:ascii="宋体" w:cs="宋体"/>
                <w:color w:val="000000"/>
                <w:sz w:val="24"/>
              </w:rPr>
            </w:pPr>
            <w:r>
              <w:rPr>
                <w:rFonts w:ascii="宋体" w:cs="宋体" w:hint="eastAsia"/>
                <w:sz w:val="24"/>
              </w:rPr>
              <w:t>投标人</w:t>
            </w:r>
            <w:r>
              <w:rPr>
                <w:rFonts w:ascii="宋体" w:cs="宋体" w:hint="eastAsia"/>
                <w:color w:val="000000"/>
                <w:sz w:val="24"/>
              </w:rPr>
              <w:t>需保证视频会议系统的核心平台在进行信创维保服务后能和江苏省统计局视频会议系统实现数字级联，实现互联互通，必须能够接受江苏省统计局视频会议系统维护管理平台统一维护管理，并以此打通省市县（区）各级会场，实现国家到省到市到县（区）完全互联互通互控，会议畅通无阻。</w:t>
            </w:r>
            <w:r>
              <w:rPr>
                <w:rFonts w:ascii="宋体" w:cs="宋体" w:hint="eastAsia"/>
                <w:sz w:val="24"/>
              </w:rPr>
              <w:t>投标人</w:t>
            </w:r>
            <w:r>
              <w:rPr>
                <w:rFonts w:ascii="宋体" w:cs="宋体" w:hint="eastAsia"/>
                <w:color w:val="000000"/>
                <w:sz w:val="24"/>
              </w:rPr>
              <w:t>需在响应文件中对以下5个方面详细描述：</w:t>
            </w:r>
          </w:p>
          <w:p>
            <w:pPr>
              <w:rPr>
                <w:rFonts w:ascii="宋体" w:cs="宋体"/>
                <w:color w:val="000000"/>
                <w:sz w:val="24"/>
              </w:rPr>
            </w:pPr>
            <w:r>
              <w:rPr>
                <w:rFonts w:ascii="宋体" w:cs="宋体" w:hint="eastAsia"/>
                <w:color w:val="000000"/>
                <w:sz w:val="24"/>
              </w:rPr>
              <w:t>①　互通视频：对接方案科学合理、可操作性强得2分；对接方案较科学合理、可操作性较强得1.5分；对接方案科学合理性一般、可操作性一般得1分；</w:t>
            </w:r>
          </w:p>
          <w:p>
            <w:pPr>
              <w:rPr>
                <w:rFonts w:ascii="宋体" w:cs="宋体"/>
                <w:color w:val="000000"/>
                <w:sz w:val="24"/>
              </w:rPr>
            </w:pPr>
            <w:r>
              <w:rPr>
                <w:rFonts w:ascii="宋体" w:cs="宋体" w:hint="eastAsia"/>
                <w:color w:val="000000"/>
                <w:sz w:val="24"/>
              </w:rPr>
              <w:t>②　互通音频：对接方案科学合理、可操作性强得2分；对接方案较科学合理、可操作性较强得1.5分；对接方案科学合理性一般、可操作性一般得1分；</w:t>
            </w:r>
          </w:p>
          <w:p>
            <w:pPr>
              <w:rPr>
                <w:rFonts w:ascii="宋体" w:cs="宋体"/>
                <w:color w:val="000000"/>
                <w:sz w:val="24"/>
              </w:rPr>
            </w:pPr>
            <w:r>
              <w:rPr>
                <w:rFonts w:ascii="宋体" w:cs="宋体" w:hint="eastAsia"/>
                <w:color w:val="000000"/>
                <w:sz w:val="24"/>
              </w:rPr>
              <w:t>③　互通网络适应性：对接方案科学合理、可操作性强得2分；对接方案较科学合理、可操作性较强得1.5分；对接方案科学合理性一般、可操作性一般得1分；</w:t>
            </w:r>
          </w:p>
          <w:p>
            <w:pPr>
              <w:rPr>
                <w:rFonts w:ascii="宋体" w:cs="宋体"/>
                <w:color w:val="000000"/>
                <w:sz w:val="24"/>
              </w:rPr>
            </w:pPr>
            <w:r>
              <w:rPr>
                <w:rFonts w:ascii="宋体" w:cs="宋体" w:hint="eastAsia"/>
                <w:color w:val="000000"/>
                <w:sz w:val="24"/>
              </w:rPr>
              <w:t>④　互通管控：对接方案科学合理、可操作性强得2分；对接方案较科学合理、可操作性较强得1.5分；对接方案科学合理性一般、可操作性一般得1分；</w:t>
            </w:r>
          </w:p>
          <w:p>
            <w:pPr>
              <w:rPr>
                <w:rFonts w:ascii="宋体" w:cs="宋体"/>
                <w:color w:val="000000"/>
                <w:sz w:val="24"/>
              </w:rPr>
            </w:pPr>
            <w:r>
              <w:rPr>
                <w:rFonts w:ascii="宋体" w:cs="宋体" w:hint="eastAsia"/>
                <w:color w:val="000000"/>
                <w:sz w:val="24"/>
              </w:rPr>
              <w:t>⑤　县区级会场接入方案：对接方案科学合理、可操作性强得2分；对接方案较科学合理、可操作性较强得1.5分；对接方案科学合理性一般、可操作性一般得1分；</w:t>
            </w:r>
          </w:p>
        </w:tc>
      </w:tr>
      <w:tr>
        <w:trPr>
          <w:trHeight w:val="595"/>
        </w:trPr>
        <w:tc>
          <w:tcPr>
            <w:tcW w:w="434" w:type="pct"/>
            <w:vMerge/>
            <w:tcBorders>
              <w:top w:val="single" w:sz="4" w:space="0" w:color="auto"/>
              <w:left w:val="single" w:sz="4" w:space="0" w:color="auto"/>
              <w:bottom w:val="single" w:sz="4" w:space="0" w:color="auto"/>
              <w:right w:val="single" w:sz="4" w:space="0" w:color="auto"/>
            </w:tcBorders>
            <w:noWrap/>
            <w:vAlign w:val="center"/>
          </w:tcPr>
          <w:p/>
        </w:tc>
        <w:tc>
          <w:tcPr>
            <w:tcW w:w="932" w:type="pct"/>
            <w:tcBorders>
              <w:top w:val="single" w:sz="4" w:space="0" w:color="auto"/>
              <w:left w:val="single" w:sz="4" w:space="0" w:color="auto"/>
              <w:bottom w:val="single" w:sz="4" w:space="0" w:color="auto"/>
              <w:right w:val="single" w:sz="4" w:space="0" w:color="auto"/>
            </w:tcBorders>
            <w:noWrap/>
            <w:vAlign w:val="center"/>
          </w:tcPr>
          <w:p>
            <w:pPr>
              <w:adjustRightInd w:val="0"/>
              <w:snapToGrid w:val="0"/>
              <w:jc w:val="left"/>
              <w:rPr>
                <w:rFonts w:ascii="宋体" w:cs="宋体"/>
                <w:b/>
                <w:color w:val="4C94D8"/>
                <w:sz w:val="24"/>
              </w:rPr>
            </w:pPr>
            <w:r>
              <w:rPr>
                <w:rFonts w:ascii="宋体" w:cs="宋体" w:hint="eastAsia"/>
                <w:b/>
                <w:color w:val="auto"/>
                <w:sz w:val="24"/>
              </w:rPr>
              <w:t>平台信创维护技术要求</w:t>
            </w:r>
          </w:p>
        </w:tc>
        <w:tc>
          <w:tcPr>
            <w:tcW w:w="448" w:type="pct"/>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cs="宋体"/>
                <w:b/>
                <w:sz w:val="24"/>
              </w:rPr>
            </w:pPr>
            <w:r>
              <w:rPr>
                <w:rFonts w:ascii="宋体" w:cs="宋体" w:hint="eastAsia"/>
                <w:b/>
                <w:sz w:val="24"/>
              </w:rPr>
              <w:t>30</w:t>
            </w:r>
          </w:p>
        </w:tc>
        <w:tc>
          <w:tcPr>
            <w:tcW w:w="3183" w:type="pct"/>
            <w:tcBorders>
              <w:top w:val="single" w:sz="4" w:space="0" w:color="auto"/>
              <w:left w:val="single" w:sz="4" w:space="0" w:color="auto"/>
              <w:bottom w:val="single" w:sz="4" w:space="0" w:color="auto"/>
              <w:right w:val="single" w:sz="4" w:space="0" w:color="auto"/>
            </w:tcBorders>
            <w:noWrap/>
          </w:tcPr>
          <w:p>
            <w:pPr>
              <w:adjustRightInd w:val="0"/>
              <w:snapToGrid w:val="0"/>
              <w:jc w:val="left"/>
              <w:rPr>
                <w:rFonts w:ascii="宋体" w:cs="宋体"/>
                <w:strike/>
                <w:dstrike w:val="0"/>
                <w:sz w:val="24"/>
              </w:rPr>
            </w:pPr>
            <w:r>
              <w:rPr>
                <w:rFonts w:ascii="宋体" w:cs="宋体" w:hint="eastAsia"/>
                <w:sz w:val="24"/>
              </w:rPr>
              <w:t>对视频会议系统升级后的技术参数、功能满足或优于招标文件要求的得30分；技术参数中加注星号（“</w:t>
            </w:r>
            <w:r>
              <w:rPr>
                <w:rFonts w:ascii="宋体" w:cs="宋体" w:hint="eastAsia"/>
                <w:color w:val="000000"/>
                <w:sz w:val="24"/>
              </w:rPr>
              <w:t>▲</w:t>
            </w:r>
            <w:r>
              <w:rPr>
                <w:rFonts w:ascii="宋体" w:cs="宋体" w:hint="eastAsia"/>
                <w:sz w:val="24"/>
              </w:rPr>
              <w:t>”）的为主要条款，投标文件对这些条款不满足，则在30分基础上每负偏离一项扣2分，扣完为止。</w:t>
            </w:r>
          </w:p>
          <w:p>
            <w:pPr>
              <w:rPr>
                <w:rFonts w:ascii="宋体" w:cs="宋体"/>
                <w:color w:val="000000"/>
                <w:sz w:val="24"/>
              </w:rPr>
            </w:pPr>
            <w:r>
              <w:rPr>
                <w:rFonts w:ascii="宋体" w:cs="宋体" w:hint="eastAsia"/>
                <w:color w:val="000000"/>
                <w:sz w:val="24"/>
              </w:rPr>
              <w:t>注：本招标内容及要求标注“</w:t>
            </w:r>
            <w:r>
              <w:rPr>
                <w:rFonts w:ascii="宋体" w:cs="宋体" w:hint="eastAsia"/>
                <w:sz w:val="24"/>
              </w:rPr>
              <w:t>★</w:t>
            </w:r>
            <w:r>
              <w:rPr>
                <w:rFonts w:ascii="宋体" w:cs="宋体" w:hint="eastAsia"/>
                <w:color w:val="000000"/>
                <w:sz w:val="24"/>
              </w:rPr>
              <w:t>”的条款为实质性要求。投标人的投标文件如未对这些实质性要求做出响应或响应有负偏离的，视为不能满足技术要求，做无效投标处理。</w:t>
            </w:r>
          </w:p>
          <w:p>
            <w:r>
              <w:rPr>
                <w:rFonts w:ascii="宋体" w:cs="宋体" w:hint="eastAsia"/>
                <w:sz w:val="24"/>
              </w:rPr>
              <w:t>投标时按照参数要求提供技术部分正负偏离表及相关佐证材料。</w:t>
            </w:r>
          </w:p>
        </w:tc>
      </w:tr>
      <w:tr>
        <w:trPr>
          <w:trHeight w:val="2138"/>
        </w:trPr>
        <w:tc>
          <w:tcPr>
            <w:tcW w:w="434" w:type="pct"/>
            <w:vMerge w:val="restart"/>
            <w:tcBorders>
              <w:top w:val="single" w:sz="4" w:space="0" w:color="auto"/>
              <w:left w:val="single" w:sz="4" w:space="0" w:color="auto"/>
              <w:bottom w:val="single" w:sz="4" w:space="0" w:color="auto"/>
              <w:right w:val="single" w:sz="4" w:space="0" w:color="auto"/>
            </w:tcBorders>
            <w:noWrap/>
            <w:vAlign w:val="center"/>
          </w:tcPr>
          <w:p>
            <w:pPr>
              <w:jc w:val="center"/>
              <w:rPr>
                <w:rFonts w:ascii="宋体" w:cs="宋体"/>
                <w:b/>
                <w:sz w:val="24"/>
                <w:highlight w:val="auto"/>
              </w:rPr>
            </w:pPr>
            <w:r>
              <w:rPr>
                <w:rFonts w:ascii="宋体" w:cs="宋体" w:hint="eastAsia"/>
                <w:b/>
                <w:color w:val="000000"/>
                <w:sz w:val="24"/>
                <w:highlight w:val="auto"/>
              </w:rPr>
              <w:t>商务部分</w:t>
            </w:r>
          </w:p>
        </w:tc>
        <w:tc>
          <w:tcPr>
            <w:tcW w:w="932" w:type="pct"/>
            <w:tcBorders>
              <w:top w:val="single" w:sz="4" w:space="0" w:color="auto"/>
              <w:left w:val="single" w:sz="4" w:space="0" w:color="auto"/>
              <w:bottom w:val="single" w:sz="4" w:space="0" w:color="auto"/>
              <w:right w:val="single" w:sz="4" w:space="0" w:color="auto"/>
            </w:tcBorders>
            <w:noWrap/>
            <w:vAlign w:val="center"/>
          </w:tcPr>
          <w:p>
            <w:pPr>
              <w:jc w:val="center"/>
              <w:rPr>
                <w:rFonts w:ascii="宋体" w:cs="宋体"/>
                <w:b/>
                <w:color w:val="000000"/>
                <w:sz w:val="24"/>
                <w:highlight w:val="auto"/>
              </w:rPr>
            </w:pPr>
            <w:r>
              <w:rPr>
                <w:rFonts w:ascii="宋体" w:cs="宋体" w:hint="eastAsia"/>
                <w:b/>
                <w:kern w:val="0"/>
                <w:sz w:val="24"/>
                <w:highlight w:val="auto"/>
              </w:rPr>
              <w:t>企业资质及综合能力</w:t>
            </w:r>
          </w:p>
        </w:tc>
        <w:tc>
          <w:tcPr>
            <w:tcW w:w="448" w:type="pct"/>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eastAsia="宋体" w:cs="宋体" w:hint="eastAsia"/>
                <w:b/>
                <w:sz w:val="24"/>
                <w:lang w:eastAsia="zh-CN"/>
                <w:highlight w:val="auto"/>
              </w:rPr>
            </w:pPr>
            <w:r>
              <w:rPr>
                <w:rFonts w:ascii="宋体" w:cs="宋体" w:hint="eastAsia"/>
                <w:b/>
                <w:sz w:val="24"/>
                <w:lang w:val="en-US" w:eastAsia="zh-CN"/>
                <w:highlight w:val="auto"/>
              </w:rPr>
              <w:t>6</w:t>
            </w:r>
          </w:p>
        </w:tc>
        <w:tc>
          <w:tcPr>
            <w:tcW w:w="3183" w:type="pct"/>
            <w:tcBorders>
              <w:top w:val="single" w:sz="4" w:space="0" w:color="auto"/>
              <w:left w:val="single" w:sz="4" w:space="0" w:color="auto"/>
              <w:bottom w:val="single" w:sz="4" w:space="0" w:color="auto"/>
              <w:right w:val="single" w:sz="4" w:space="0" w:color="auto"/>
            </w:tcBorders>
            <w:noWrap/>
            <w:vAlign w:val="center"/>
          </w:tcPr>
          <w:p>
            <w:pPr>
              <w:adjustRightInd w:val="0"/>
              <w:snapToGrid w:val="0"/>
              <w:rPr>
                <w:rFonts w:ascii="宋体" w:cs="宋体"/>
                <w:sz w:val="24"/>
                <w:highlight w:val="auto"/>
              </w:rPr>
            </w:pPr>
            <w:r>
              <w:rPr>
                <w:rFonts w:ascii="宋体" w:cs="宋体" w:hint="eastAsia"/>
                <w:sz w:val="24"/>
                <w:highlight w:val="auto"/>
              </w:rPr>
              <w:t>1.具备GB/T售后服务五星认证证书的得3分，未提供不得分。</w:t>
            </w:r>
          </w:p>
          <w:p>
            <w:pPr>
              <w:adjustRightInd w:val="0"/>
              <w:snapToGrid w:val="0"/>
              <w:rPr>
                <w:rFonts w:ascii="宋体" w:cs="宋体"/>
                <w:sz w:val="24"/>
                <w:highlight w:val="auto"/>
              </w:rPr>
            </w:pPr>
            <w:r>
              <w:rPr>
                <w:rFonts w:ascii="宋体" w:cs="宋体" w:hint="eastAsia"/>
                <w:sz w:val="24"/>
                <w:highlight w:val="auto"/>
              </w:rPr>
              <w:t>2. 具备与视频会议相关的软件著作权证书，每个得1.5分，最高3分。</w:t>
            </w:r>
          </w:p>
          <w:p>
            <w:pPr>
              <w:rPr>
                <w:rFonts w:ascii="宋体" w:cs="宋体"/>
                <w:color w:val="000000"/>
                <w:sz w:val="24"/>
                <w:highlight w:val="auto"/>
              </w:rPr>
            </w:pPr>
            <w:r>
              <w:rPr>
                <w:rFonts w:ascii="宋体" w:cs="宋体" w:hint="eastAsia"/>
                <w:sz w:val="24"/>
                <w:highlight w:val="auto"/>
              </w:rPr>
              <w:t>注：提供有效的证书复印件加盖公章。</w:t>
            </w:r>
          </w:p>
        </w:tc>
      </w:tr>
      <w:tr>
        <w:trPr>
          <w:trHeight w:val="595"/>
        </w:trPr>
        <w:tc>
          <w:tcPr>
            <w:tcW w:w="434" w:type="pct"/>
            <w:vMerge/>
            <w:tcBorders>
              <w:top w:val="single" w:sz="4" w:space="0" w:color="auto"/>
              <w:left w:val="single" w:sz="4" w:space="0" w:color="auto"/>
              <w:bottom w:val="single" w:sz="4" w:space="0" w:color="auto"/>
              <w:right w:val="single" w:sz="4" w:space="0" w:color="auto"/>
            </w:tcBorders>
            <w:noWrap/>
            <w:vAlign w:val="center"/>
          </w:tcPr>
          <w:p/>
        </w:tc>
        <w:tc>
          <w:tcPr>
            <w:tcW w:w="932" w:type="pct"/>
            <w:tcBorders>
              <w:top w:val="single" w:sz="4" w:space="0" w:color="auto"/>
              <w:left w:val="single" w:sz="4" w:space="0" w:color="auto"/>
              <w:bottom w:val="single" w:sz="4" w:space="0" w:color="auto"/>
              <w:right w:val="single" w:sz="4" w:space="0" w:color="auto"/>
            </w:tcBorders>
            <w:noWrap/>
            <w:vAlign w:val="center"/>
          </w:tcPr>
          <w:p>
            <w:pPr>
              <w:rPr>
                <w:rFonts w:ascii="宋体" w:cs="宋体"/>
                <w:b/>
                <w:color w:val="000000"/>
                <w:sz w:val="24"/>
                <w:highlight w:val="auto"/>
              </w:rPr>
            </w:pPr>
            <w:r>
              <w:rPr>
                <w:rFonts w:ascii="宋体" w:cs="宋体" w:hint="eastAsia"/>
                <w:b/>
                <w:kern w:val="0"/>
                <w:sz w:val="24"/>
                <w:highlight w:val="auto"/>
              </w:rPr>
              <w:t>运行维护（维保）服务项目案例</w:t>
            </w:r>
          </w:p>
        </w:tc>
        <w:tc>
          <w:tcPr>
            <w:tcW w:w="448" w:type="pct"/>
            <w:tcBorders>
              <w:top w:val="single" w:sz="4" w:space="0" w:color="auto"/>
              <w:left w:val="single" w:sz="4" w:space="0" w:color="auto"/>
              <w:bottom w:val="single" w:sz="4" w:space="0" w:color="auto"/>
              <w:right w:val="single" w:sz="4" w:space="0" w:color="auto"/>
            </w:tcBorders>
            <w:noWrap/>
            <w:vAlign w:val="center"/>
          </w:tcPr>
          <w:p>
            <w:pPr>
              <w:adjustRightInd w:val="0"/>
              <w:snapToGrid w:val="0"/>
              <w:jc w:val="center"/>
              <w:rPr>
                <w:rFonts w:ascii="宋体" w:eastAsia="宋体" w:cs="宋体" w:hint="eastAsia"/>
                <w:b/>
                <w:sz w:val="24"/>
                <w:lang w:eastAsia="zh-CN"/>
                <w:highlight w:val="auto"/>
              </w:rPr>
            </w:pPr>
            <w:r>
              <w:rPr>
                <w:rFonts w:ascii="宋体" w:cs="宋体" w:hint="eastAsia"/>
                <w:b/>
                <w:sz w:val="24"/>
                <w:highlight w:val="auto"/>
              </w:rPr>
              <w:t>2</w:t>
            </w:r>
            <w:r>
              <w:rPr>
                <w:rFonts w:ascii="宋体" w:cs="宋体" w:hint="eastAsia"/>
                <w:b/>
                <w:sz w:val="24"/>
                <w:lang w:val="en-US" w:eastAsia="zh-CN"/>
                <w:highlight w:val="auto"/>
              </w:rPr>
              <w:t>4</w:t>
            </w:r>
          </w:p>
        </w:tc>
        <w:tc>
          <w:tcPr>
            <w:tcW w:w="3183" w:type="pct"/>
            <w:tcBorders>
              <w:top w:val="single" w:sz="4" w:space="0" w:color="auto"/>
              <w:left w:val="single" w:sz="4" w:space="0" w:color="auto"/>
              <w:bottom w:val="single" w:sz="4" w:space="0" w:color="auto"/>
              <w:right w:val="single" w:sz="4" w:space="0" w:color="auto"/>
            </w:tcBorders>
            <w:noWrap/>
            <w:vAlign w:val="center"/>
          </w:tcPr>
          <w:p>
            <w:pPr>
              <w:rPr>
                <w:rFonts w:ascii="宋体" w:cs="宋体"/>
                <w:sz w:val="24"/>
                <w:highlight w:val="auto"/>
              </w:rPr>
            </w:pPr>
            <w:r>
              <w:rPr>
                <w:rFonts w:ascii="宋体" w:cs="宋体" w:hint="eastAsia"/>
                <w:sz w:val="24"/>
                <w:highlight w:val="auto"/>
              </w:rPr>
              <w:t>自2020年1月1日以来（以合同签订日期为准），投标人独立承担视频会议维护（维保）服务项目，每个得3分，最高得2</w:t>
            </w:r>
            <w:r>
              <w:rPr>
                <w:rFonts w:ascii="宋体" w:cs="宋体" w:hint="eastAsia"/>
                <w:sz w:val="24"/>
                <w:lang w:val="en-US" w:eastAsia="zh-CN"/>
                <w:highlight w:val="auto"/>
              </w:rPr>
              <w:t>4</w:t>
            </w:r>
            <w:r>
              <w:rPr>
                <w:rFonts w:ascii="宋体" w:cs="宋体" w:hint="eastAsia"/>
                <w:sz w:val="24"/>
                <w:highlight w:val="auto"/>
              </w:rPr>
              <w:t>分。</w:t>
            </w:r>
          </w:p>
          <w:p>
            <w:pPr>
              <w:rPr>
                <w:rFonts w:ascii="宋体" w:cs="宋体"/>
                <w:color w:val="000000"/>
                <w:sz w:val="24"/>
                <w:highlight w:val="auto"/>
              </w:rPr>
            </w:pPr>
            <w:r>
              <w:rPr>
                <w:rFonts w:ascii="宋体" w:cs="宋体" w:hint="eastAsia"/>
                <w:sz w:val="24"/>
                <w:highlight w:val="auto"/>
              </w:rPr>
              <w:t>注：提供合同复印件并加盖公章，包括但不限于首页、双方签字盖章页，合同须反映出评审内容，否则视作未提供。</w:t>
            </w:r>
          </w:p>
        </w:tc>
      </w:tr>
    </w:tbl>
    <w:p>
      <w:pPr>
        <w:spacing w:line="460" w:lineRule="exact"/>
        <w:ind w:firstLineChars="200" w:firstLine="560"/>
        <w:outlineLvl w:val="2"/>
        <w:rPr>
          <w:rFonts w:ascii="宋体" w:cs="宋体"/>
          <w:sz w:val="28"/>
          <w:szCs w:val="28"/>
          <w:highlight w:val="auto"/>
        </w:rPr>
      </w:pPr>
      <w:r>
        <w:rPr>
          <w:rFonts w:ascii="宋体" w:cs="宋体" w:hint="eastAsia"/>
          <w:b/>
          <w:sz w:val="28"/>
          <w:szCs w:val="28"/>
          <w:highlight w:val="auto"/>
        </w:rPr>
        <w:t>（四）</w:t>
      </w:r>
      <w:r>
        <w:rPr>
          <w:rFonts w:ascii="宋体" w:cs="宋体" w:hint="eastAsia"/>
          <w:b/>
          <w:sz w:val="28"/>
          <w:szCs w:val="28"/>
          <w:lang w:val="zh-CN"/>
          <w:highlight w:val="auto"/>
        </w:rPr>
        <w:t>价格分</w:t>
      </w:r>
      <w:r>
        <w:rPr>
          <w:rFonts w:ascii="宋体" w:cs="宋体" w:hint="eastAsia"/>
          <w:bCs/>
          <w:sz w:val="28"/>
          <w:szCs w:val="28"/>
          <w:highlight w:val="auto"/>
        </w:rPr>
        <w:t>：20</w:t>
      </w:r>
      <w:r>
        <w:rPr>
          <w:rFonts w:ascii="宋体" w:cs="宋体" w:hint="eastAsia"/>
          <w:bCs/>
          <w:sz w:val="28"/>
          <w:szCs w:val="28"/>
          <w:lang w:val="zh-CN"/>
          <w:highlight w:val="auto"/>
        </w:rPr>
        <w:t>分</w:t>
      </w:r>
    </w:p>
    <w:p>
      <w:pPr>
        <w:adjustRightInd w:val="0"/>
        <w:snapToGrid w:val="0"/>
        <w:spacing w:line="460" w:lineRule="exact"/>
        <w:ind w:firstLineChars="200" w:firstLine="560"/>
        <w:rPr>
          <w:rFonts w:ascii="宋体" w:cs="宋体"/>
          <w:sz w:val="28"/>
          <w:szCs w:val="28"/>
        </w:rPr>
      </w:pPr>
      <w:r>
        <w:rPr>
          <w:rFonts w:ascii="宋体" w:cs="宋体" w:hint="eastAsia"/>
          <w:sz w:val="28"/>
          <w:szCs w:val="28"/>
          <w:highlight w:val="auto"/>
        </w:rPr>
        <w:t>价格分统一采用低价优先法计算，即满足磋商文件要求且最后报价最低的供应商的价格为磋商基准价，</w:t>
      </w:r>
      <w:r>
        <w:rPr>
          <w:rFonts w:ascii="宋体" w:cs="宋体" w:hint="eastAsia"/>
          <w:sz w:val="28"/>
          <w:szCs w:val="28"/>
        </w:rPr>
        <w:t>其价格分为满分。其他供应商的价格分统一按照下列公式计算：</w:t>
      </w:r>
    </w:p>
    <w:p>
      <w:pPr>
        <w:adjustRightInd w:val="0"/>
        <w:snapToGrid w:val="0"/>
        <w:spacing w:line="460" w:lineRule="exact"/>
        <w:ind w:firstLineChars="200" w:firstLine="560"/>
        <w:rPr>
          <w:rFonts w:ascii="宋体" w:cs="宋体"/>
          <w:sz w:val="28"/>
          <w:szCs w:val="28"/>
        </w:rPr>
      </w:pPr>
      <w:r>
        <w:rPr>
          <w:rFonts w:ascii="宋体" w:cs="宋体" w:hint="eastAsia"/>
          <w:sz w:val="28"/>
          <w:szCs w:val="28"/>
        </w:rPr>
        <w:t>磋商报价得分=（磋商基准价/最后磋商报价）×价格权值×100</w:t>
      </w:r>
    </w:p>
    <w:p>
      <w:pPr>
        <w:adjustRightInd w:val="0"/>
        <w:snapToGrid w:val="0"/>
        <w:spacing w:line="460" w:lineRule="exact"/>
        <w:ind w:firstLine="570"/>
        <w:rPr>
          <w:rFonts w:ascii="宋体" w:cs="宋体"/>
          <w:sz w:val="28"/>
          <w:szCs w:val="28"/>
        </w:rPr>
      </w:pPr>
      <w:r>
        <w:rPr>
          <w:rFonts w:ascii="宋体" w:cs="宋体" w:hint="eastAsia"/>
          <w:sz w:val="28"/>
          <w:szCs w:val="28"/>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pStyle w:val="67"/>
        <w:spacing w:before="0" w:after="0" w:line="460" w:lineRule="exact"/>
        <w:ind w:firstLineChars="200" w:firstLine="560"/>
        <w:jc w:val="both"/>
        <w:rPr>
          <w:rFonts w:ascii="宋体" w:cs="宋体"/>
          <w:sz w:val="28"/>
          <w:szCs w:val="28"/>
        </w:rPr>
      </w:pPr>
      <w:r>
        <w:rPr>
          <w:rFonts w:ascii="宋体" w:cs="宋体" w:hint="eastAsia"/>
          <w:b/>
          <w:sz w:val="28"/>
          <w:szCs w:val="28"/>
        </w:rPr>
        <w:t>（五）政府采购政策功能落实</w:t>
      </w:r>
    </w:p>
    <w:p>
      <w:pPr>
        <w:spacing w:line="460" w:lineRule="exact"/>
        <w:ind w:firstLineChars="200" w:firstLine="560"/>
        <w:rPr>
          <w:rFonts w:ascii="宋体" w:cs="宋体"/>
          <w:sz w:val="28"/>
          <w:szCs w:val="28"/>
        </w:rPr>
      </w:pPr>
      <w:r>
        <w:rPr>
          <w:rFonts w:ascii="宋体" w:cs="宋体" w:hint="eastAsia"/>
          <w:sz w:val="28"/>
          <w:szCs w:val="28"/>
        </w:rPr>
        <w:t>1.小微型企业价格扣除</w:t>
      </w:r>
    </w:p>
    <w:p>
      <w:pPr>
        <w:spacing w:line="460" w:lineRule="exact"/>
        <w:ind w:firstLineChars="200" w:firstLine="560"/>
        <w:rPr>
          <w:rFonts w:ascii="宋体" w:cs="宋体"/>
          <w:sz w:val="28"/>
          <w:szCs w:val="28"/>
        </w:rPr>
      </w:pPr>
      <w:r>
        <w:rPr>
          <w:rFonts w:ascii="宋体" w:cs="宋体" w:hint="eastAsia"/>
          <w:sz w:val="28"/>
          <w:szCs w:val="28"/>
        </w:rPr>
        <w:t>（1）本项目对小型和微型企业服务给予10%的扣除价格，用扣除后的价格参与评审。</w:t>
      </w:r>
    </w:p>
    <w:p>
      <w:pPr>
        <w:spacing w:line="460" w:lineRule="exact"/>
        <w:ind w:firstLineChars="200" w:firstLine="560"/>
        <w:rPr>
          <w:rFonts w:ascii="宋体" w:cs="宋体"/>
          <w:sz w:val="28"/>
          <w:szCs w:val="28"/>
        </w:rPr>
      </w:pPr>
      <w:r>
        <w:rPr>
          <w:rFonts w:ascii="宋体" w:cs="宋体" w:hint="eastAsia"/>
          <w:sz w:val="28"/>
          <w:szCs w:val="28"/>
        </w:rPr>
        <w:t>（2）供应商需按照《政府采购促进中小企业发展管理办法》（财库﹝2020﹞46 号）的规定提供相应的《小微企业声明函》。</w:t>
      </w:r>
    </w:p>
    <w:p>
      <w:pPr>
        <w:spacing w:line="460" w:lineRule="exact"/>
        <w:ind w:firstLineChars="200" w:firstLine="560"/>
        <w:rPr>
          <w:rFonts w:ascii="宋体" w:cs="宋体"/>
          <w:sz w:val="28"/>
          <w:szCs w:val="28"/>
        </w:rPr>
      </w:pPr>
      <w:r>
        <w:rPr>
          <w:rFonts w:ascii="宋体" w:cs="宋体" w:hint="eastAsia"/>
          <w:sz w:val="28"/>
          <w:szCs w:val="28"/>
        </w:rPr>
        <w:t>（3）企业标准请参照《关于印发中小企业划型标准规定的通知》（工信部联企业﹝2011﹞300号）文件规定自行填写。</w:t>
      </w:r>
    </w:p>
    <w:p>
      <w:pPr>
        <w:spacing w:line="460" w:lineRule="exact"/>
        <w:ind w:firstLineChars="200" w:firstLine="560"/>
        <w:rPr>
          <w:rFonts w:ascii="宋体" w:cs="宋体"/>
          <w:sz w:val="28"/>
          <w:szCs w:val="28"/>
        </w:rPr>
      </w:pPr>
      <w:r>
        <w:rPr>
          <w:rFonts w:ascii="宋体" w:cs="宋体" w:hint="eastAsia"/>
          <w:sz w:val="28"/>
          <w:szCs w:val="28"/>
        </w:rPr>
        <w:t>2.残疾人福利单位价格扣除</w:t>
      </w:r>
    </w:p>
    <w:p>
      <w:pPr>
        <w:spacing w:line="460" w:lineRule="exact"/>
        <w:ind w:firstLineChars="200" w:firstLine="560"/>
        <w:rPr>
          <w:rFonts w:ascii="宋体" w:cs="宋体"/>
          <w:sz w:val="28"/>
          <w:szCs w:val="28"/>
        </w:rPr>
      </w:pPr>
      <w:r>
        <w:rPr>
          <w:rFonts w:ascii="宋体" w:cs="宋体" w:hint="eastAsia"/>
          <w:sz w:val="28"/>
          <w:szCs w:val="28"/>
        </w:rPr>
        <w:t>（1）本项目对残疾人福利性单位，给予10%的价格扣除，用扣除后的价格参与评审。</w:t>
      </w:r>
    </w:p>
    <w:p>
      <w:pPr>
        <w:spacing w:line="460" w:lineRule="exact"/>
        <w:ind w:firstLineChars="200" w:firstLine="560"/>
        <w:rPr>
          <w:rFonts w:ascii="宋体" w:cs="宋体"/>
          <w:sz w:val="28"/>
          <w:szCs w:val="28"/>
        </w:rPr>
      </w:pPr>
      <w:r>
        <w:rPr>
          <w:rFonts w:ascii="宋体" w:cs="宋体" w:hint="eastAsia"/>
          <w:sz w:val="28"/>
          <w:szCs w:val="28"/>
        </w:rPr>
        <w:t>（2）残疾人福利单位需按照采购文件的要求提供《残疾人福利性单位声明函》。</w:t>
      </w:r>
    </w:p>
    <w:p>
      <w:pPr>
        <w:spacing w:line="460" w:lineRule="exact"/>
        <w:ind w:firstLineChars="200" w:firstLine="560"/>
        <w:rPr>
          <w:rFonts w:ascii="宋体" w:cs="宋体"/>
          <w:sz w:val="28"/>
          <w:szCs w:val="28"/>
        </w:rPr>
      </w:pPr>
      <w:r>
        <w:rPr>
          <w:rFonts w:ascii="宋体" w:cs="宋体" w:hint="eastAsia"/>
          <w:sz w:val="28"/>
          <w:szCs w:val="28"/>
        </w:rPr>
        <w:t>（3）残疾人福利单位标准请参照《关于促进残疾人就业政府采购政策的通知》（财库〔2017〕141号）。</w:t>
      </w:r>
    </w:p>
    <w:p>
      <w:pPr>
        <w:spacing w:line="460" w:lineRule="exact"/>
        <w:ind w:firstLineChars="200" w:firstLine="560"/>
        <w:rPr>
          <w:rFonts w:ascii="宋体" w:cs="宋体"/>
          <w:sz w:val="28"/>
          <w:szCs w:val="28"/>
        </w:rPr>
      </w:pPr>
      <w:r>
        <w:rPr>
          <w:rFonts w:ascii="宋体" w:cs="宋体" w:hint="eastAsia"/>
          <w:sz w:val="28"/>
          <w:szCs w:val="28"/>
        </w:rPr>
        <w:t>3.监狱和戒毒企业价格扣除</w:t>
      </w:r>
    </w:p>
    <w:p>
      <w:pPr>
        <w:spacing w:line="460" w:lineRule="exact"/>
        <w:ind w:firstLineChars="200" w:firstLine="560"/>
        <w:rPr>
          <w:rFonts w:ascii="宋体" w:cs="宋体"/>
          <w:sz w:val="28"/>
          <w:szCs w:val="28"/>
        </w:rPr>
      </w:pPr>
      <w:r>
        <w:rPr>
          <w:rFonts w:ascii="宋体" w:cs="宋体" w:hint="eastAsia"/>
          <w:sz w:val="28"/>
          <w:szCs w:val="28"/>
        </w:rPr>
        <w:t>（1）本项目对监狱和戒毒企业（简称监狱企业）给予10%的价格扣除，用扣除后的价格参与评审。</w:t>
      </w:r>
    </w:p>
    <w:p>
      <w:pPr>
        <w:spacing w:line="460" w:lineRule="exact"/>
        <w:ind w:firstLineChars="200" w:firstLine="560"/>
        <w:rPr>
          <w:rFonts w:ascii="宋体" w:cs="宋体"/>
          <w:sz w:val="28"/>
          <w:szCs w:val="28"/>
        </w:rPr>
      </w:pPr>
      <w:r>
        <w:rPr>
          <w:rFonts w:ascii="宋体" w:cs="宋体" w:hint="eastAsia"/>
          <w:sz w:val="28"/>
          <w:szCs w:val="28"/>
        </w:rPr>
        <w:t>（2）监狱企业参加政府采购活动时，需提供由省级以上监狱管理局、戒毒管理局(含新疆生产建设兵团)出具的属于监狱企业的证明文件。供应商如不提供上述证明文件，价格将不做相应扣除。</w:t>
      </w:r>
    </w:p>
    <w:p>
      <w:pPr>
        <w:spacing w:line="460" w:lineRule="exact"/>
        <w:ind w:firstLineChars="200" w:firstLine="560"/>
        <w:rPr>
          <w:rFonts w:ascii="宋体" w:cs="宋体"/>
          <w:sz w:val="28"/>
          <w:szCs w:val="28"/>
        </w:rPr>
      </w:pPr>
      <w:r>
        <w:rPr>
          <w:rFonts w:ascii="宋体" w:cs="宋体" w:hint="eastAsia"/>
          <w:sz w:val="28"/>
          <w:szCs w:val="28"/>
        </w:rPr>
        <w:t>（3）监狱企业标准请参照《关于政府采购支持监狱企业发展有关问题的通知》（财库﹝2014﹞68号）。</w:t>
      </w:r>
    </w:p>
    <w:p>
      <w:pPr>
        <w:spacing w:line="460" w:lineRule="exact"/>
        <w:ind w:firstLineChars="200" w:firstLine="560"/>
        <w:rPr>
          <w:rFonts w:ascii="宋体" w:cs="宋体"/>
          <w:sz w:val="28"/>
          <w:szCs w:val="28"/>
        </w:rPr>
      </w:pPr>
      <w:r>
        <w:rPr>
          <w:rFonts w:ascii="宋体" w:cs="宋体" w:hint="eastAsia"/>
          <w:sz w:val="28"/>
          <w:szCs w:val="28"/>
        </w:rPr>
        <w:t>4.残疾人福利单位、监狱企业属于小型、微型企业的，不重复享受政策。</w:t>
      </w:r>
    </w:p>
    <w:p>
      <w:pPr>
        <w:spacing w:line="460" w:lineRule="exact"/>
        <w:ind w:firstLineChars="200" w:firstLine="560"/>
        <w:rPr>
          <w:rFonts w:ascii="宋体" w:cs="宋体"/>
          <w:sz w:val="28"/>
          <w:szCs w:val="28"/>
          <w:lang w:val="zh-CN"/>
        </w:rPr>
      </w:pPr>
      <w:r>
        <w:rPr>
          <w:rFonts w:ascii="宋体" w:cs="宋体" w:hint="eastAsia"/>
          <w:sz w:val="28"/>
          <w:szCs w:val="28"/>
          <w:lang w:val="zh-CN"/>
        </w:rPr>
        <w:t>评标委员会负责具体评标事务。</w:t>
      </w:r>
    </w:p>
    <w:p>
      <w:pPr>
        <w:adjustRightInd w:val="0"/>
        <w:snapToGrid w:val="0"/>
        <w:spacing w:line="460" w:lineRule="exact"/>
        <w:ind w:firstLine="570"/>
        <w:outlineLvl w:val="2"/>
        <w:rPr>
          <w:rFonts w:ascii="宋体" w:cs="宋体"/>
          <w:bCs/>
          <w:sz w:val="28"/>
          <w:szCs w:val="28"/>
        </w:rPr>
      </w:pPr>
      <w:r>
        <w:rPr>
          <w:rFonts w:ascii="宋体" w:cs="宋体" w:hint="eastAsia"/>
          <w:b/>
          <w:sz w:val="28"/>
          <w:szCs w:val="28"/>
        </w:rPr>
        <w:t>（六）成交供应商的确定</w:t>
      </w:r>
    </w:p>
    <w:p>
      <w:pPr>
        <w:adjustRightInd w:val="0"/>
        <w:snapToGrid w:val="0"/>
        <w:spacing w:line="460" w:lineRule="exact"/>
        <w:ind w:firstLine="570"/>
        <w:rPr>
          <w:rFonts w:ascii="宋体" w:cs="宋体"/>
          <w:sz w:val="28"/>
          <w:szCs w:val="28"/>
        </w:rPr>
      </w:pPr>
      <w:r>
        <w:rPr>
          <w:rFonts w:ascii="宋体" w:cs="宋体" w:hint="eastAsia"/>
          <w:sz w:val="28"/>
          <w:szCs w:val="28"/>
        </w:rPr>
        <w:t>磋商小组汇总各评委评分后，按照得分从高到低的顺序推荐三名成交候选人，并编写评审报告。</w:t>
      </w:r>
    </w:p>
    <w:p>
      <w:pPr>
        <w:adjustRightInd w:val="0"/>
        <w:snapToGrid w:val="0"/>
        <w:spacing w:line="460" w:lineRule="exact"/>
        <w:ind w:firstLine="570"/>
        <w:rPr>
          <w:rFonts w:ascii="宋体" w:cs="宋体"/>
          <w:sz w:val="28"/>
          <w:szCs w:val="28"/>
        </w:rPr>
      </w:pPr>
      <w:r>
        <w:rPr>
          <w:rFonts w:ascii="宋体" w:cs="宋体" w:hint="eastAsia"/>
          <w:sz w:val="28"/>
          <w:szCs w:val="28"/>
        </w:rPr>
        <w:t>采购人委托磋商小组直接确定排名第一的成交候选人为成交供应商。</w:t>
      </w:r>
    </w:p>
    <w:p>
      <w:pPr>
        <w:adjustRightInd w:val="0"/>
        <w:snapToGrid w:val="0"/>
        <w:spacing w:line="460" w:lineRule="exact"/>
        <w:ind w:firstLineChars="198" w:firstLine="554"/>
        <w:outlineLvl w:val="2"/>
        <w:rPr>
          <w:rFonts w:ascii="宋体" w:cs="宋体"/>
          <w:b/>
          <w:sz w:val="28"/>
          <w:szCs w:val="28"/>
        </w:rPr>
      </w:pPr>
      <w:r>
        <w:rPr>
          <w:rFonts w:ascii="宋体" w:cs="宋体" w:hint="eastAsia"/>
          <w:b/>
          <w:sz w:val="28"/>
          <w:szCs w:val="28"/>
        </w:rPr>
        <w:t>（七）采购人代表宣布评审结果</w:t>
      </w:r>
    </w:p>
    <w:p>
      <w:pPr>
        <w:adjustRightInd w:val="0"/>
        <w:snapToGrid w:val="0"/>
        <w:spacing w:line="460" w:lineRule="exact"/>
        <w:ind w:firstLineChars="200" w:firstLine="560"/>
        <w:outlineLvl w:val="2"/>
        <w:rPr>
          <w:rFonts w:ascii="宋体" w:cs="宋体"/>
          <w:b/>
          <w:sz w:val="28"/>
          <w:szCs w:val="28"/>
        </w:rPr>
      </w:pPr>
      <w:r>
        <w:rPr>
          <w:rFonts w:ascii="宋体" w:cs="宋体" w:hint="eastAsia"/>
          <w:b/>
          <w:sz w:val="28"/>
          <w:szCs w:val="28"/>
        </w:rPr>
        <w:t>（</w:t>
      </w:r>
      <w:r>
        <w:rPr>
          <w:rFonts w:ascii="宋体" w:cs="宋体" w:hint="eastAsia"/>
          <w:b/>
          <w:bCs/>
          <w:sz w:val="28"/>
          <w:szCs w:val="28"/>
        </w:rPr>
        <w:t>八</w:t>
      </w:r>
      <w:r>
        <w:rPr>
          <w:rFonts w:ascii="宋体" w:cs="宋体" w:hint="eastAsia"/>
          <w:b/>
          <w:sz w:val="28"/>
          <w:szCs w:val="28"/>
        </w:rPr>
        <w:t>）公告成交结果</w:t>
      </w:r>
    </w:p>
    <w:p>
      <w:pPr>
        <w:adjustRightInd w:val="0"/>
        <w:snapToGrid w:val="0"/>
        <w:spacing w:line="460" w:lineRule="exact"/>
        <w:ind w:firstLine="570"/>
        <w:rPr>
          <w:rFonts w:ascii="宋体" w:cs="宋体"/>
          <w:sz w:val="28"/>
          <w:szCs w:val="28"/>
        </w:rPr>
      </w:pPr>
      <w:r>
        <w:rPr>
          <w:rFonts w:ascii="宋体" w:cs="宋体" w:hint="eastAsia"/>
          <w:sz w:val="28"/>
          <w:szCs w:val="28"/>
        </w:rPr>
        <w:t>自确定成交供应商之日起2个工作日内，在南通市统计局网站公告成交结果，公告期限为1个工作日。</w:t>
      </w:r>
    </w:p>
    <w:p>
      <w:pPr>
        <w:adjustRightInd w:val="0"/>
        <w:snapToGrid w:val="0"/>
        <w:spacing w:line="460" w:lineRule="exact"/>
        <w:ind w:firstLineChars="200" w:firstLine="560"/>
        <w:outlineLvl w:val="2"/>
        <w:rPr>
          <w:rFonts w:ascii="宋体" w:cs="宋体"/>
          <w:b/>
          <w:bCs/>
          <w:sz w:val="28"/>
          <w:szCs w:val="28"/>
        </w:rPr>
      </w:pPr>
      <w:r>
        <w:rPr>
          <w:rFonts w:ascii="宋体" w:cs="宋体" w:hint="eastAsia"/>
          <w:b/>
          <w:sz w:val="28"/>
          <w:szCs w:val="28"/>
        </w:rPr>
        <w:t>（九）</w:t>
      </w:r>
      <w:r>
        <w:rPr>
          <w:rFonts w:ascii="宋体" w:cs="宋体" w:hint="eastAsia"/>
          <w:b/>
          <w:bCs/>
          <w:sz w:val="28"/>
          <w:szCs w:val="28"/>
        </w:rPr>
        <w:t>发放成交通知书</w:t>
      </w:r>
    </w:p>
    <w:p>
      <w:pPr>
        <w:adjustRightInd w:val="0"/>
        <w:snapToGrid w:val="0"/>
        <w:spacing w:line="460" w:lineRule="exact"/>
        <w:ind w:firstLineChars="200" w:firstLine="560"/>
        <w:rPr>
          <w:rFonts w:ascii="宋体" w:cs="宋体"/>
          <w:bCs/>
          <w:sz w:val="28"/>
          <w:szCs w:val="28"/>
        </w:rPr>
      </w:pPr>
      <w:r>
        <w:rPr>
          <w:rFonts w:ascii="宋体" w:cs="宋体" w:hint="eastAsia"/>
          <w:sz w:val="28"/>
          <w:szCs w:val="28"/>
        </w:rPr>
        <w:t>公告成交结果的同时，采购代理机构</w:t>
      </w:r>
      <w:r>
        <w:rPr>
          <w:rFonts w:ascii="宋体" w:cs="宋体" w:hint="eastAsia"/>
          <w:bCs/>
          <w:sz w:val="28"/>
          <w:szCs w:val="28"/>
        </w:rPr>
        <w:t>向成交供应商发放成交通知书。联系电话：0513-55887688。</w:t>
      </w:r>
      <w:bookmarkStart w:id="116" w:name="_GoBack"/>
      <w:bookmarkEnd w:id="116"/>
    </w:p>
    <w:p>
      <w:pPr>
        <w:adjustRightInd w:val="0"/>
        <w:snapToGrid w:val="0"/>
        <w:spacing w:line="460" w:lineRule="exact"/>
        <w:ind w:firstLine="570"/>
        <w:rPr>
          <w:rFonts w:ascii="宋体" w:cs="宋体"/>
          <w:sz w:val="28"/>
          <w:szCs w:val="28"/>
        </w:rPr>
      </w:pPr>
      <w:r>
        <w:rPr>
          <w:rFonts w:ascii="宋体" w:cs="宋体" w:hint="eastAsia"/>
          <w:sz w:val="28"/>
          <w:szCs w:val="28"/>
        </w:rPr>
        <w:t>成交通知书发出后，采购人不得违法改变成交结果，成交供应商无正当理由不得放弃成交。</w:t>
      </w:r>
    </w:p>
    <w:p>
      <w:pPr>
        <w:snapToGrid w:val="0"/>
        <w:spacing w:line="460" w:lineRule="exact"/>
        <w:ind w:firstLineChars="200" w:firstLine="560"/>
        <w:rPr>
          <w:rFonts w:ascii="宋体" w:cs="宋体"/>
          <w:b/>
          <w:sz w:val="28"/>
          <w:szCs w:val="28"/>
        </w:rPr>
      </w:pPr>
      <w:r>
        <w:rPr>
          <w:rFonts w:ascii="宋体" w:cs="宋体" w:hint="eastAsia"/>
          <w:b/>
          <w:sz w:val="28"/>
          <w:szCs w:val="28"/>
        </w:rPr>
        <w:t>（十）其他</w:t>
      </w:r>
    </w:p>
    <w:p>
      <w:pPr>
        <w:adjustRightInd w:val="0"/>
        <w:snapToGrid w:val="0"/>
        <w:spacing w:line="460" w:lineRule="exact"/>
        <w:ind w:firstLine="570"/>
        <w:rPr>
          <w:rFonts w:ascii="宋体" w:cs="宋体"/>
          <w:sz w:val="28"/>
          <w:szCs w:val="28"/>
        </w:rPr>
      </w:pPr>
      <w:r>
        <w:rPr>
          <w:rFonts w:ascii="宋体" w:cs="宋体" w:hint="eastAsia"/>
          <w:sz w:val="28"/>
          <w:szCs w:val="28"/>
        </w:rPr>
        <w:t>当中标候选人无正当理由放弃中标，被查实存在影响中标结果的违法行为等情形，采购人有权按照相关法律法规的规定对其采取惩戒措施，包含但不限于列入采购失信人黑名单等措施。</w:t>
      </w:r>
    </w:p>
    <w:p>
      <w:pPr>
        <w:adjustRightInd w:val="0"/>
        <w:snapToGrid w:val="0"/>
        <w:spacing w:line="460" w:lineRule="exact"/>
        <w:ind w:firstLine="570"/>
        <w:rPr>
          <w:rFonts w:ascii="宋体" w:cs="宋体"/>
          <w:sz w:val="28"/>
          <w:szCs w:val="28"/>
        </w:rPr>
      </w:pPr>
      <w:r>
        <w:rPr>
          <w:rFonts w:ascii="宋体" w:cs="宋体" w:hint="eastAsia"/>
          <w:sz w:val="28"/>
          <w:szCs w:val="28"/>
        </w:rPr>
        <w:t>当中标候选人放弃中标、因不可抗力不能履行合同，或者被查实存在影响中标结果的违法行为等情形，不符合中标条件的，采购人可以按照评标委员会提出的中标候选人名单排序依次确定其他中标候选人为供应商，也可以重新招标。</w:t>
      </w:r>
    </w:p>
    <w:p>
      <w:pPr>
        <w:adjustRightInd w:val="0"/>
        <w:snapToGrid w:val="0"/>
        <w:spacing w:line="360" w:lineRule="auto"/>
        <w:jc w:val="center"/>
        <w:outlineLvl w:val="0"/>
        <w:rPr>
          <w:rFonts w:ascii="宋体" w:cs="宋体"/>
          <w:b/>
          <w:sz w:val="28"/>
          <w:szCs w:val="28"/>
        </w:rPr>
      </w:pPr>
      <w:r>
        <w:rPr>
          <w:rFonts w:ascii="宋体" w:cs="宋体" w:hint="eastAsia"/>
          <w:b/>
          <w:sz w:val="36"/>
          <w:szCs w:val="36"/>
        </w:rPr>
        <w:br w:type="page"/>
      </w:r>
      <w:r>
        <w:rPr>
          <w:rFonts w:ascii="宋体" w:cs="宋体" w:hint="eastAsia"/>
          <w:bCs/>
          <w:sz w:val="36"/>
          <w:szCs w:val="36"/>
        </w:rPr>
        <w:t>第五部分 响应文件组成</w:t>
      </w:r>
    </w:p>
    <w:p>
      <w:pPr>
        <w:adjustRightInd w:val="0"/>
        <w:snapToGrid w:val="0"/>
        <w:spacing w:line="460" w:lineRule="exact"/>
        <w:ind w:firstLineChars="200" w:firstLine="560"/>
        <w:jc w:val="left"/>
        <w:rPr>
          <w:rFonts w:ascii="宋体" w:cs="宋体"/>
          <w:b/>
          <w:sz w:val="28"/>
          <w:szCs w:val="28"/>
        </w:rPr>
      </w:pPr>
      <w:r>
        <w:rPr>
          <w:rFonts w:ascii="宋体" w:cs="宋体" w:hint="eastAsia"/>
          <w:b/>
          <w:sz w:val="28"/>
          <w:szCs w:val="28"/>
        </w:rPr>
        <w:t>响应文件由资格审查文件、商务技术文件、价格文件、电子响应文件四部分组成。</w:t>
      </w:r>
    </w:p>
    <w:p>
      <w:pPr>
        <w:adjustRightInd w:val="0"/>
        <w:snapToGrid w:val="0"/>
        <w:spacing w:line="460" w:lineRule="exact"/>
        <w:ind w:firstLineChars="200" w:firstLine="560"/>
        <w:outlineLvl w:val="1"/>
        <w:rPr>
          <w:rFonts w:ascii="宋体" w:cs="宋体"/>
          <w:b/>
          <w:bCs/>
          <w:kern w:val="0"/>
          <w:sz w:val="28"/>
          <w:szCs w:val="28"/>
          <w:lang w:val="zh-CN"/>
        </w:rPr>
      </w:pPr>
      <w:r>
        <w:rPr>
          <w:rFonts w:ascii="宋体" w:cs="宋体" w:hint="eastAsia"/>
          <w:b/>
          <w:bCs/>
          <w:kern w:val="0"/>
          <w:sz w:val="28"/>
          <w:szCs w:val="28"/>
          <w:lang w:val="zh-CN"/>
        </w:rPr>
        <w:t>一、资格审查文件（不能出现商务技术文件、价格文件）</w:t>
      </w:r>
    </w:p>
    <w:p>
      <w:pPr>
        <w:adjustRightInd w:val="0"/>
        <w:snapToGrid w:val="0"/>
        <w:spacing w:line="460" w:lineRule="exact"/>
        <w:ind w:firstLineChars="200" w:firstLine="560"/>
        <w:rPr>
          <w:rFonts w:ascii="宋体" w:cs="宋体"/>
          <w:kern w:val="0"/>
          <w:sz w:val="28"/>
          <w:szCs w:val="28"/>
          <w:lang w:val="zh-CN"/>
        </w:rPr>
      </w:pPr>
      <w:r>
        <w:rPr>
          <w:rFonts w:ascii="宋体" w:cs="宋体" w:hint="eastAsia"/>
          <w:kern w:val="0"/>
          <w:sz w:val="28"/>
          <w:szCs w:val="28"/>
          <w:lang w:val="zh-CN"/>
        </w:rPr>
        <w:t>1.</w:t>
      </w:r>
      <w:r>
        <w:rPr>
          <w:rFonts w:ascii="宋体" w:cs="宋体" w:hint="eastAsia"/>
          <w:kern w:val="0"/>
          <w:sz w:val="28"/>
          <w:szCs w:val="28"/>
        </w:rPr>
        <w:t>投标人符合本项目投标人资格要求的承诺函</w:t>
      </w:r>
      <w:r>
        <w:rPr>
          <w:rFonts w:ascii="宋体" w:cs="宋体" w:hint="eastAsia"/>
          <w:kern w:val="0"/>
          <w:sz w:val="28"/>
          <w:szCs w:val="28"/>
          <w:lang w:val="zh-CN"/>
        </w:rPr>
        <w:t>（格式见附件1）；</w:t>
      </w:r>
    </w:p>
    <w:p>
      <w:pPr>
        <w:adjustRightInd w:val="0"/>
        <w:snapToGrid w:val="0"/>
        <w:spacing w:line="460" w:lineRule="exact"/>
        <w:ind w:firstLineChars="200" w:firstLine="560"/>
        <w:rPr>
          <w:rFonts w:ascii="宋体" w:cs="宋体"/>
          <w:kern w:val="0"/>
          <w:sz w:val="28"/>
          <w:szCs w:val="28"/>
          <w:lang w:val="zh-CN"/>
        </w:rPr>
      </w:pPr>
      <w:r>
        <w:rPr>
          <w:rFonts w:ascii="宋体" w:cs="宋体" w:hint="eastAsia"/>
          <w:kern w:val="0"/>
          <w:sz w:val="28"/>
          <w:szCs w:val="28"/>
          <w:lang w:val="zh-CN"/>
        </w:rPr>
        <w:t>2.法定代表人身份证明书（格式见附件2）；</w:t>
      </w:r>
    </w:p>
    <w:p>
      <w:pPr>
        <w:adjustRightInd w:val="0"/>
        <w:snapToGrid w:val="0"/>
        <w:spacing w:line="460" w:lineRule="exact"/>
        <w:ind w:firstLineChars="200" w:firstLine="560"/>
        <w:rPr>
          <w:rFonts w:ascii="宋体" w:cs="宋体"/>
          <w:kern w:val="0"/>
          <w:sz w:val="28"/>
          <w:szCs w:val="28"/>
          <w:lang w:val="zh-CN"/>
        </w:rPr>
      </w:pPr>
      <w:r>
        <w:rPr>
          <w:rFonts w:ascii="宋体" w:cs="宋体" w:hint="eastAsia"/>
          <w:kern w:val="0"/>
          <w:sz w:val="28"/>
          <w:szCs w:val="28"/>
          <w:lang w:val="zh-CN"/>
        </w:rPr>
        <w:t>3.法定代表人授权委托书原件，磋商代表本人身份证复印件（格式见附件3）；</w:t>
      </w:r>
    </w:p>
    <w:p>
      <w:pPr>
        <w:adjustRightInd w:val="0"/>
        <w:snapToGrid w:val="0"/>
        <w:spacing w:line="460" w:lineRule="exact"/>
        <w:ind w:firstLineChars="200" w:firstLine="560"/>
        <w:rPr>
          <w:rFonts w:ascii="宋体" w:cs="宋体"/>
          <w:kern w:val="0"/>
          <w:sz w:val="28"/>
          <w:szCs w:val="28"/>
          <w:lang w:val="zh-CN"/>
        </w:rPr>
      </w:pPr>
      <w:r>
        <w:rPr>
          <w:rFonts w:ascii="宋体" w:cs="宋体" w:hint="eastAsia"/>
          <w:kern w:val="0"/>
          <w:sz w:val="28"/>
          <w:szCs w:val="28"/>
          <w:lang w:val="zh-CN"/>
        </w:rPr>
        <w:t>4.提供营业执照副本复印件并加盖公章。</w:t>
      </w:r>
    </w:p>
    <w:p>
      <w:pPr>
        <w:adjustRightInd w:val="0"/>
        <w:snapToGrid w:val="0"/>
        <w:spacing w:line="460" w:lineRule="exact"/>
        <w:ind w:firstLineChars="200" w:firstLine="560"/>
        <w:rPr>
          <w:rFonts w:ascii="宋体" w:eastAsia="宋体" w:cs="宋体" w:hint="eastAsia"/>
          <w:kern w:val="0"/>
          <w:sz w:val="28"/>
          <w:szCs w:val="28"/>
          <w:lang w:val="en-US" w:eastAsia="zh-CN"/>
        </w:rPr>
      </w:pPr>
      <w:r>
        <w:rPr>
          <w:rFonts w:ascii="宋体" w:cs="宋体" w:hint="eastAsia"/>
          <w:kern w:val="0"/>
          <w:sz w:val="28"/>
          <w:szCs w:val="28"/>
          <w:lang w:val="en-US" w:eastAsia="zh-CN"/>
        </w:rPr>
        <w:t>5.</w:t>
      </w:r>
      <w:r>
        <w:rPr>
          <w:rFonts w:ascii="宋体" w:cs="宋体" w:hint="eastAsia"/>
          <w:sz w:val="28"/>
          <w:szCs w:val="28"/>
        </w:rPr>
        <w:t>落实政府采购政</w:t>
      </w:r>
      <w:r>
        <w:rPr>
          <w:rFonts w:ascii="宋体" w:eastAsia="宋体" w:cs="宋体" w:hint="eastAsia"/>
          <w:sz w:val="28"/>
          <w:szCs w:val="28"/>
        </w:rPr>
        <w:t>策需满足的资格要求</w:t>
      </w:r>
      <w:r>
        <w:rPr>
          <w:rFonts w:ascii="宋体" w:eastAsia="宋体" w:cs="宋体" w:hint="eastAsia"/>
          <w:sz w:val="28"/>
          <w:szCs w:val="28"/>
          <w:lang w:eastAsia="zh-CN"/>
        </w:rPr>
        <w:t>（以下满足其一即可）</w:t>
      </w:r>
    </w:p>
    <w:p>
      <w:pPr>
        <w:adjustRightInd w:val="0"/>
        <w:snapToGrid w:val="0"/>
        <w:spacing w:line="460" w:lineRule="exact"/>
        <w:ind w:firstLineChars="200" w:firstLine="560"/>
        <w:rPr>
          <w:rFonts w:ascii="宋体" w:cs="宋体"/>
          <w:kern w:val="0"/>
          <w:sz w:val="28"/>
          <w:szCs w:val="28"/>
        </w:rPr>
      </w:pPr>
      <w:r>
        <w:rPr>
          <w:rFonts w:ascii="宋体" w:cs="宋体" w:hint="eastAsia"/>
          <w:kern w:val="0"/>
          <w:sz w:val="28"/>
          <w:szCs w:val="28"/>
          <w:lang w:val="en-US" w:eastAsia="zh-CN"/>
        </w:rPr>
        <w:t>5.1</w:t>
      </w:r>
      <w:r>
        <w:rPr>
          <w:rFonts w:ascii="宋体" w:cs="宋体" w:hint="eastAsia"/>
          <w:kern w:val="0"/>
          <w:sz w:val="28"/>
          <w:szCs w:val="28"/>
          <w:lang w:eastAsia="zh-CN"/>
        </w:rPr>
        <w:t>中小</w:t>
      </w:r>
      <w:r>
        <w:rPr>
          <w:rFonts w:ascii="宋体" w:cs="宋体" w:hint="eastAsia"/>
          <w:kern w:val="0"/>
          <w:sz w:val="28"/>
          <w:szCs w:val="28"/>
        </w:rPr>
        <w:t>企业声明函（</w:t>
      </w:r>
      <w:r>
        <w:rPr>
          <w:rFonts w:ascii="宋体" w:cs="宋体" w:hint="eastAsia"/>
          <w:kern w:val="0"/>
          <w:sz w:val="28"/>
          <w:szCs w:val="28"/>
          <w:lang w:val="zh-CN"/>
        </w:rPr>
        <w:t>格式见附件</w:t>
      </w:r>
      <w:r>
        <w:rPr>
          <w:rFonts w:ascii="宋体" w:cs="宋体" w:hint="eastAsia"/>
          <w:kern w:val="0"/>
          <w:sz w:val="28"/>
          <w:szCs w:val="28"/>
        </w:rPr>
        <w:t>8）；</w:t>
      </w:r>
    </w:p>
    <w:p>
      <w:pPr>
        <w:adjustRightInd w:val="0"/>
        <w:snapToGrid w:val="0"/>
        <w:spacing w:line="460" w:lineRule="exact"/>
        <w:ind w:firstLineChars="200" w:firstLine="560"/>
        <w:rPr>
          <w:rFonts w:ascii="宋体" w:cs="宋体"/>
          <w:kern w:val="0"/>
          <w:sz w:val="28"/>
          <w:szCs w:val="28"/>
        </w:rPr>
      </w:pPr>
      <w:r>
        <w:rPr>
          <w:rFonts w:ascii="宋体" w:cs="宋体" w:hint="eastAsia"/>
          <w:kern w:val="0"/>
          <w:sz w:val="28"/>
          <w:szCs w:val="28"/>
          <w:lang w:val="en-US" w:eastAsia="zh-CN"/>
        </w:rPr>
        <w:t>5.2</w:t>
      </w:r>
      <w:r>
        <w:rPr>
          <w:rFonts w:ascii="宋体" w:cs="宋体" w:hint="eastAsia"/>
          <w:kern w:val="0"/>
          <w:sz w:val="28"/>
          <w:szCs w:val="28"/>
        </w:rPr>
        <w:t>残疾人福利性单位声明函（</w:t>
      </w:r>
      <w:r>
        <w:rPr>
          <w:rFonts w:ascii="宋体" w:cs="宋体" w:hint="eastAsia"/>
          <w:kern w:val="0"/>
          <w:sz w:val="28"/>
          <w:szCs w:val="28"/>
          <w:lang w:val="zh-CN"/>
        </w:rPr>
        <w:t>格式见附件</w:t>
      </w:r>
      <w:r>
        <w:rPr>
          <w:rFonts w:ascii="宋体" w:cs="宋体" w:hint="eastAsia"/>
          <w:kern w:val="0"/>
          <w:sz w:val="28"/>
          <w:szCs w:val="28"/>
        </w:rPr>
        <w:t>9）；</w:t>
      </w:r>
    </w:p>
    <w:p>
      <w:pPr>
        <w:adjustRightInd w:val="0"/>
        <w:snapToGrid w:val="0"/>
        <w:spacing w:line="460" w:lineRule="exact"/>
        <w:ind w:firstLineChars="200" w:firstLine="560"/>
        <w:rPr>
          <w:rFonts w:ascii="宋体" w:cs="宋体" w:hint="eastAsia"/>
          <w:b/>
          <w:bCs/>
          <w:kern w:val="0"/>
          <w:sz w:val="28"/>
          <w:szCs w:val="28"/>
          <w:lang w:val="zh-CN"/>
        </w:rPr>
      </w:pPr>
      <w:r>
        <w:rPr>
          <w:rFonts w:ascii="宋体" w:cs="宋体" w:hint="eastAsia"/>
          <w:kern w:val="0"/>
          <w:sz w:val="28"/>
          <w:szCs w:val="28"/>
          <w:lang w:val="en-US" w:eastAsia="zh-CN"/>
        </w:rPr>
        <w:t>5.3</w:t>
      </w:r>
      <w:r>
        <w:rPr>
          <w:rFonts w:ascii="宋体" w:cs="宋体" w:hint="eastAsia"/>
          <w:kern w:val="0"/>
          <w:sz w:val="28"/>
          <w:szCs w:val="28"/>
        </w:rPr>
        <w:t>监狱和戒毒企业证明材料（</w:t>
      </w:r>
      <w:r>
        <w:rPr>
          <w:rFonts w:ascii="宋体" w:cs="宋体" w:hint="eastAsia"/>
          <w:kern w:val="0"/>
          <w:sz w:val="28"/>
          <w:szCs w:val="28"/>
          <w:lang w:val="zh-CN"/>
        </w:rPr>
        <w:t>格式见附件</w:t>
      </w:r>
      <w:r>
        <w:rPr>
          <w:rFonts w:ascii="宋体" w:cs="宋体" w:hint="eastAsia"/>
          <w:kern w:val="0"/>
          <w:sz w:val="28"/>
          <w:szCs w:val="28"/>
        </w:rPr>
        <w:t>10）；</w:t>
      </w:r>
    </w:p>
    <w:p>
      <w:pPr>
        <w:adjustRightInd w:val="0"/>
        <w:snapToGrid w:val="0"/>
        <w:spacing w:line="460" w:lineRule="exact"/>
        <w:ind w:firstLineChars="200" w:firstLine="560"/>
        <w:outlineLvl w:val="1"/>
        <w:rPr>
          <w:rFonts w:ascii="宋体" w:cs="宋体"/>
          <w:b/>
          <w:bCs/>
          <w:kern w:val="0"/>
          <w:sz w:val="28"/>
          <w:szCs w:val="28"/>
          <w:lang w:val="zh-CN"/>
        </w:rPr>
      </w:pPr>
      <w:r>
        <w:rPr>
          <w:rFonts w:ascii="宋体" w:cs="宋体" w:hint="eastAsia"/>
          <w:b/>
          <w:bCs/>
          <w:kern w:val="0"/>
          <w:sz w:val="28"/>
          <w:szCs w:val="28"/>
          <w:lang w:val="zh-CN"/>
        </w:rPr>
        <w:t>二、商务技术文件（不能出现价格文件）</w:t>
      </w:r>
    </w:p>
    <w:p>
      <w:pPr>
        <w:adjustRightInd w:val="0"/>
        <w:snapToGrid w:val="0"/>
        <w:spacing w:line="460" w:lineRule="exact"/>
        <w:ind w:firstLineChars="200" w:firstLine="560"/>
        <w:rPr>
          <w:rFonts w:ascii="宋体" w:cs="宋体"/>
          <w:kern w:val="0"/>
          <w:sz w:val="28"/>
          <w:szCs w:val="28"/>
          <w:lang w:val="zh-CN"/>
        </w:rPr>
      </w:pPr>
      <w:r>
        <w:rPr>
          <w:rFonts w:ascii="宋体" w:cs="宋体" w:hint="eastAsia"/>
          <w:kern w:val="0"/>
          <w:sz w:val="28"/>
          <w:szCs w:val="28"/>
          <w:lang w:val="zh-CN"/>
        </w:rPr>
        <w:t>1.商务部分正负偏离表（格式见附件4）</w:t>
      </w:r>
    </w:p>
    <w:p>
      <w:pPr>
        <w:adjustRightInd w:val="0"/>
        <w:snapToGrid w:val="0"/>
        <w:spacing w:line="460" w:lineRule="exact"/>
        <w:ind w:firstLineChars="200" w:firstLine="560"/>
        <w:rPr>
          <w:rFonts w:ascii="宋体" w:cs="宋体"/>
          <w:kern w:val="0"/>
          <w:sz w:val="28"/>
          <w:szCs w:val="28"/>
        </w:rPr>
      </w:pPr>
      <w:r>
        <w:rPr>
          <w:rFonts w:ascii="宋体" w:cs="宋体" w:hint="eastAsia"/>
          <w:kern w:val="0"/>
          <w:sz w:val="28"/>
          <w:szCs w:val="28"/>
        </w:rPr>
        <w:t>2.</w:t>
      </w:r>
      <w:r>
        <w:rPr>
          <w:rFonts w:ascii="宋体" w:cs="宋体" w:hint="eastAsia"/>
          <w:kern w:val="0"/>
          <w:sz w:val="28"/>
          <w:szCs w:val="28"/>
          <w:lang w:val="zh-CN"/>
        </w:rPr>
        <w:t>技术部分正负偏离表（格式见附件</w:t>
      </w:r>
      <w:r>
        <w:rPr>
          <w:rFonts w:ascii="宋体" w:cs="宋体" w:hint="eastAsia"/>
          <w:kern w:val="0"/>
          <w:sz w:val="28"/>
          <w:szCs w:val="28"/>
        </w:rPr>
        <w:t>5</w:t>
      </w:r>
      <w:r>
        <w:rPr>
          <w:rFonts w:ascii="宋体" w:cs="宋体" w:hint="eastAsia"/>
          <w:kern w:val="0"/>
          <w:sz w:val="28"/>
          <w:szCs w:val="28"/>
          <w:lang w:val="zh-CN"/>
        </w:rPr>
        <w:t>）</w:t>
      </w:r>
    </w:p>
    <w:p>
      <w:pPr>
        <w:adjustRightInd w:val="0"/>
        <w:snapToGrid w:val="0"/>
        <w:spacing w:line="460" w:lineRule="exact"/>
        <w:ind w:firstLineChars="200" w:firstLine="560"/>
        <w:rPr>
          <w:rFonts w:ascii="宋体" w:cs="宋体"/>
          <w:kern w:val="0"/>
          <w:sz w:val="28"/>
          <w:szCs w:val="28"/>
          <w:lang w:val="zh-CN"/>
        </w:rPr>
      </w:pPr>
      <w:r>
        <w:rPr>
          <w:rFonts w:ascii="宋体" w:cs="宋体" w:hint="eastAsia"/>
          <w:kern w:val="0"/>
          <w:sz w:val="28"/>
          <w:szCs w:val="28"/>
        </w:rPr>
        <w:t>3.</w:t>
      </w:r>
      <w:r>
        <w:rPr>
          <w:rFonts w:ascii="宋体" w:cs="宋体" w:hint="eastAsia"/>
          <w:kern w:val="0"/>
          <w:sz w:val="28"/>
          <w:szCs w:val="28"/>
          <w:lang w:val="zh-CN"/>
        </w:rPr>
        <w:t>方案、业绩、综合能力等；</w:t>
      </w:r>
    </w:p>
    <w:p>
      <w:pPr>
        <w:adjustRightInd w:val="0"/>
        <w:snapToGrid w:val="0"/>
        <w:spacing w:line="460" w:lineRule="exact"/>
        <w:ind w:firstLineChars="200" w:firstLine="560"/>
        <w:rPr>
          <w:rFonts w:ascii="宋体" w:cs="宋体"/>
          <w:kern w:val="0"/>
          <w:sz w:val="28"/>
          <w:szCs w:val="28"/>
          <w:lang w:val="zh-CN"/>
        </w:rPr>
      </w:pPr>
      <w:r>
        <w:rPr>
          <w:rFonts w:ascii="宋体" w:cs="宋体" w:hint="eastAsia"/>
          <w:kern w:val="0"/>
          <w:sz w:val="28"/>
          <w:szCs w:val="28"/>
        </w:rPr>
        <w:t>4.</w:t>
      </w:r>
      <w:r>
        <w:rPr>
          <w:rFonts w:ascii="宋体" w:cs="宋体" w:hint="eastAsia"/>
          <w:kern w:val="0"/>
          <w:sz w:val="28"/>
          <w:szCs w:val="28"/>
          <w:lang w:val="zh-CN"/>
        </w:rPr>
        <w:t>为方便评委评审，请供应商按评审办法中所涉及的事项顺序进行编制，可以补充相关材料；</w:t>
      </w:r>
    </w:p>
    <w:p>
      <w:pPr>
        <w:adjustRightInd w:val="0"/>
        <w:snapToGrid w:val="0"/>
        <w:spacing w:line="460" w:lineRule="exact"/>
        <w:ind w:firstLineChars="200" w:firstLine="560"/>
        <w:rPr>
          <w:rFonts w:ascii="宋体" w:cs="宋体"/>
          <w:bCs/>
          <w:kern w:val="0"/>
          <w:sz w:val="28"/>
          <w:szCs w:val="28"/>
          <w:lang w:val="zh-CN"/>
        </w:rPr>
      </w:pPr>
      <w:r>
        <w:rPr>
          <w:rFonts w:ascii="宋体" w:cs="宋体" w:hint="eastAsia"/>
          <w:kern w:val="0"/>
          <w:sz w:val="28"/>
          <w:szCs w:val="28"/>
        </w:rPr>
        <w:t>5</w:t>
      </w:r>
      <w:r>
        <w:rPr>
          <w:rFonts w:ascii="宋体" w:cs="宋体" w:hint="eastAsia"/>
          <w:kern w:val="0"/>
          <w:sz w:val="28"/>
          <w:szCs w:val="28"/>
          <w:lang w:val="zh-CN"/>
        </w:rPr>
        <w:t>.评审办法中未涉及的事项，供应商认为需要提交的其他资料。</w:t>
      </w:r>
    </w:p>
    <w:p>
      <w:pPr>
        <w:adjustRightInd w:val="0"/>
        <w:snapToGrid w:val="0"/>
        <w:spacing w:line="460" w:lineRule="exact"/>
        <w:ind w:firstLineChars="200" w:firstLine="560"/>
        <w:outlineLvl w:val="1"/>
        <w:rPr>
          <w:rFonts w:ascii="宋体" w:cs="宋体"/>
          <w:b/>
          <w:bCs/>
          <w:kern w:val="0"/>
          <w:sz w:val="28"/>
          <w:szCs w:val="28"/>
          <w:lang w:val="zh-CN"/>
        </w:rPr>
      </w:pPr>
      <w:r>
        <w:rPr>
          <w:rFonts w:ascii="宋体" w:cs="宋体" w:hint="eastAsia"/>
          <w:b/>
          <w:bCs/>
          <w:kern w:val="0"/>
          <w:sz w:val="28"/>
          <w:szCs w:val="28"/>
          <w:lang w:val="zh-CN"/>
        </w:rPr>
        <w:t>三、价格文件</w:t>
      </w:r>
    </w:p>
    <w:p>
      <w:pPr>
        <w:adjustRightInd w:val="0"/>
        <w:snapToGrid w:val="0"/>
        <w:spacing w:line="460" w:lineRule="exact"/>
        <w:ind w:firstLineChars="200" w:firstLine="560"/>
        <w:rPr>
          <w:rFonts w:ascii="宋体" w:cs="宋体"/>
          <w:kern w:val="0"/>
          <w:sz w:val="28"/>
          <w:szCs w:val="28"/>
          <w:lang w:val="zh-CN"/>
        </w:rPr>
      </w:pPr>
      <w:r>
        <w:rPr>
          <w:rFonts w:ascii="宋体" w:cs="宋体" w:hint="eastAsia"/>
          <w:kern w:val="0"/>
          <w:sz w:val="28"/>
          <w:szCs w:val="28"/>
          <w:lang w:val="zh-CN"/>
        </w:rPr>
        <w:t>1.开标一览表（格式见附件</w:t>
      </w:r>
      <w:r>
        <w:rPr>
          <w:rFonts w:ascii="宋体" w:cs="宋体" w:hint="eastAsia"/>
          <w:kern w:val="0"/>
          <w:sz w:val="28"/>
          <w:szCs w:val="28"/>
        </w:rPr>
        <w:t>6</w:t>
      </w:r>
      <w:r>
        <w:rPr>
          <w:rFonts w:ascii="宋体" w:cs="宋体" w:hint="eastAsia"/>
          <w:kern w:val="0"/>
          <w:sz w:val="28"/>
          <w:szCs w:val="28"/>
          <w:lang w:val="zh-CN"/>
        </w:rPr>
        <w:t>）；</w:t>
      </w:r>
    </w:p>
    <w:p>
      <w:pPr>
        <w:adjustRightInd w:val="0"/>
        <w:snapToGrid w:val="0"/>
        <w:spacing w:line="460" w:lineRule="exact"/>
        <w:ind w:firstLineChars="200" w:firstLine="560"/>
        <w:rPr>
          <w:rFonts w:ascii="宋体" w:cs="宋体"/>
          <w:kern w:val="0"/>
          <w:sz w:val="28"/>
          <w:szCs w:val="28"/>
        </w:rPr>
      </w:pPr>
      <w:r>
        <w:rPr>
          <w:rFonts w:ascii="宋体" w:cs="宋体" w:hint="eastAsia"/>
          <w:kern w:val="0"/>
          <w:sz w:val="28"/>
          <w:szCs w:val="28"/>
        </w:rPr>
        <w:t>2.分项报价表</w:t>
      </w:r>
      <w:r>
        <w:rPr>
          <w:rFonts w:ascii="宋体" w:cs="宋体" w:hint="eastAsia"/>
          <w:kern w:val="0"/>
          <w:sz w:val="28"/>
          <w:szCs w:val="28"/>
          <w:lang w:val="zh-CN"/>
        </w:rPr>
        <w:t>（格式见附件</w:t>
      </w:r>
      <w:r>
        <w:rPr>
          <w:rFonts w:ascii="宋体" w:cs="宋体" w:hint="eastAsia"/>
          <w:kern w:val="0"/>
          <w:sz w:val="28"/>
          <w:szCs w:val="28"/>
        </w:rPr>
        <w:t>7</w:t>
      </w:r>
      <w:r>
        <w:rPr>
          <w:rFonts w:ascii="宋体" w:cs="宋体" w:hint="eastAsia"/>
          <w:kern w:val="0"/>
          <w:sz w:val="28"/>
          <w:szCs w:val="28"/>
          <w:lang w:val="zh-CN"/>
        </w:rPr>
        <w:t>）</w:t>
      </w:r>
      <w:r>
        <w:rPr>
          <w:rFonts w:ascii="宋体" w:cs="宋体" w:hint="eastAsia"/>
          <w:kern w:val="0"/>
          <w:sz w:val="28"/>
          <w:szCs w:val="28"/>
        </w:rPr>
        <w:t>；</w:t>
      </w:r>
    </w:p>
    <w:p>
      <w:pPr>
        <w:adjustRightInd w:val="0"/>
        <w:snapToGrid w:val="0"/>
        <w:spacing w:line="460" w:lineRule="exact"/>
        <w:ind w:firstLineChars="200" w:firstLine="560"/>
        <w:rPr>
          <w:rFonts w:ascii="宋体" w:cs="宋体"/>
          <w:kern w:val="0"/>
          <w:sz w:val="28"/>
          <w:szCs w:val="28"/>
          <w:lang w:val="zh-CN"/>
        </w:rPr>
      </w:pPr>
      <w:r>
        <w:rPr>
          <w:rFonts w:ascii="宋体" w:cs="宋体" w:hint="eastAsia"/>
          <w:kern w:val="0"/>
          <w:sz w:val="28"/>
          <w:szCs w:val="28"/>
          <w:lang w:val="en-US" w:eastAsia="zh-CN"/>
        </w:rPr>
        <w:t>3</w:t>
      </w:r>
      <w:r>
        <w:rPr>
          <w:rFonts w:ascii="宋体" w:cs="宋体" w:hint="eastAsia"/>
          <w:kern w:val="0"/>
          <w:sz w:val="28"/>
          <w:szCs w:val="28"/>
        </w:rPr>
        <w:t>.</w:t>
      </w:r>
      <w:r>
        <w:rPr>
          <w:rFonts w:ascii="宋体" w:cs="宋体" w:hint="eastAsia"/>
          <w:kern w:val="0"/>
          <w:sz w:val="28"/>
          <w:szCs w:val="28"/>
          <w:lang w:val="zh-CN"/>
        </w:rPr>
        <w:t>供应商信用承诺书（格式见附件</w:t>
      </w:r>
      <w:r>
        <w:rPr>
          <w:rFonts w:ascii="宋体" w:cs="宋体" w:hint="eastAsia"/>
          <w:kern w:val="0"/>
          <w:sz w:val="28"/>
          <w:szCs w:val="28"/>
        </w:rPr>
        <w:t>11</w:t>
      </w:r>
      <w:r>
        <w:rPr>
          <w:rFonts w:ascii="宋体" w:cs="宋体" w:hint="eastAsia"/>
          <w:kern w:val="0"/>
          <w:sz w:val="28"/>
          <w:szCs w:val="28"/>
          <w:lang w:val="zh-CN"/>
        </w:rPr>
        <w:t>）。</w:t>
      </w:r>
    </w:p>
    <w:p>
      <w:pPr>
        <w:adjustRightInd w:val="0"/>
        <w:snapToGrid w:val="0"/>
        <w:spacing w:line="460" w:lineRule="exact"/>
        <w:ind w:firstLineChars="200" w:firstLine="560"/>
        <w:outlineLvl w:val="1"/>
        <w:rPr>
          <w:rFonts w:ascii="宋体" w:cs="宋体"/>
          <w:kern w:val="0"/>
          <w:sz w:val="28"/>
          <w:szCs w:val="28"/>
        </w:rPr>
      </w:pPr>
      <w:r>
        <w:rPr>
          <w:rFonts w:ascii="宋体" w:cs="宋体" w:hint="eastAsia"/>
          <w:b/>
          <w:bCs/>
          <w:kern w:val="0"/>
          <w:sz w:val="28"/>
          <w:szCs w:val="28"/>
        </w:rPr>
        <w:t>四、电子响应文件（一份）</w:t>
      </w:r>
    </w:p>
    <w:p>
      <w:pPr>
        <w:adjustRightInd w:val="0"/>
        <w:snapToGrid w:val="0"/>
        <w:spacing w:line="460" w:lineRule="exact"/>
        <w:ind w:firstLineChars="200" w:firstLine="560"/>
        <w:rPr>
          <w:rFonts w:ascii="宋体" w:cs="宋体"/>
          <w:kern w:val="0"/>
          <w:sz w:val="28"/>
          <w:szCs w:val="28"/>
          <w:lang w:val="zh-CN"/>
        </w:rPr>
      </w:pPr>
      <w:r>
        <w:rPr>
          <w:rFonts w:ascii="宋体" w:cs="宋体" w:hint="eastAsia"/>
          <w:kern w:val="0"/>
          <w:sz w:val="28"/>
          <w:szCs w:val="28"/>
        </w:rPr>
        <w:t>电子响应文件的内容为“资格审查文件、商务技术文件、价格文件”的打印盖章后的响应文件的扫描件（资格审查文件、商务技术文件、价格文件需分别逐页连续扫描为三个独立的PDF文件）。</w:t>
      </w:r>
    </w:p>
    <w:p>
      <w:pPr>
        <w:snapToGrid w:val="0"/>
        <w:spacing w:line="360" w:lineRule="auto"/>
        <w:contextualSpacing/>
        <w:rPr>
          <w:rFonts w:ascii="宋体" w:cs="宋体"/>
          <w:b/>
          <w:sz w:val="30"/>
          <w:szCs w:val="30"/>
        </w:rPr>
      </w:pPr>
      <w:r>
        <w:rPr>
          <w:rFonts w:ascii="宋体" w:cs="宋体" w:hint="eastAsia"/>
          <w:kern w:val="0"/>
          <w:sz w:val="32"/>
          <w:szCs w:val="32"/>
          <w:lang w:val="zh-CN"/>
        </w:rPr>
        <w:br w:type="page"/>
        <w:t>附件1</w:t>
      </w:r>
    </w:p>
    <w:p>
      <w:pPr>
        <w:spacing w:line="360" w:lineRule="auto"/>
        <w:jc w:val="center"/>
        <w:rPr>
          <w:rFonts w:ascii="宋体" w:cs="宋体"/>
          <w:b/>
          <w:sz w:val="30"/>
          <w:szCs w:val="30"/>
        </w:rPr>
      </w:pPr>
      <w:r>
        <w:rPr>
          <w:rFonts w:ascii="宋体" w:cs="宋体" w:hint="eastAsia"/>
          <w:b/>
          <w:sz w:val="30"/>
          <w:szCs w:val="30"/>
        </w:rPr>
        <w:t>投标人符合本项目投标人资格要求的承诺函</w:t>
      </w:r>
    </w:p>
    <w:p>
      <w:pPr>
        <w:spacing w:line="360" w:lineRule="auto"/>
        <w:rPr>
          <w:rFonts w:ascii="宋体" w:cs="宋体"/>
          <w:b/>
          <w:bCs/>
          <w:sz w:val="44"/>
          <w:szCs w:val="44"/>
        </w:rPr>
      </w:pPr>
      <w:r>
        <w:rPr>
          <w:rFonts w:ascii="宋体" w:cs="宋体" w:hint="eastAsia"/>
          <w:b/>
          <w:bCs/>
          <w:sz w:val="24"/>
          <w:szCs w:val="21"/>
        </w:rPr>
        <w:t xml:space="preserve">                       </w:t>
      </w:r>
      <w:r>
        <w:rPr>
          <w:rFonts w:ascii="宋体" w:cs="宋体" w:hint="eastAsia"/>
          <w:b/>
          <w:bCs/>
          <w:sz w:val="44"/>
          <w:szCs w:val="44"/>
        </w:rPr>
        <w:t xml:space="preserve">   </w:t>
      </w:r>
    </w:p>
    <w:p>
      <w:pPr>
        <w:spacing w:line="360" w:lineRule="auto"/>
        <w:ind w:firstLineChars="200" w:firstLine="480"/>
        <w:rPr>
          <w:rFonts w:ascii="宋体" w:cs="宋体"/>
          <w:b/>
          <w:bCs/>
          <w:sz w:val="24"/>
        </w:rPr>
      </w:pPr>
      <w:r>
        <w:rPr>
          <w:rFonts w:ascii="宋体" w:cs="宋体" w:hint="eastAsia"/>
          <w:bCs/>
          <w:sz w:val="24"/>
        </w:rPr>
        <w:t>我单位参加</w:t>
      </w:r>
      <w:r>
        <w:rPr>
          <w:rFonts w:ascii="宋体" w:cs="宋体" w:hint="eastAsia"/>
          <w:bCs/>
          <w:sz w:val="24"/>
          <w:szCs w:val="21"/>
          <w:u w:val="single"/>
        </w:rPr>
        <w:t>________________ _</w:t>
      </w:r>
      <w:r>
        <w:rPr>
          <w:rFonts w:ascii="宋体" w:cs="宋体" w:hint="eastAsia"/>
          <w:bCs/>
          <w:sz w:val="24"/>
          <w:szCs w:val="21"/>
        </w:rPr>
        <w:t>（项目名称），</w:t>
      </w:r>
      <w:r>
        <w:rPr>
          <w:rFonts w:ascii="宋体" w:cs="宋体" w:hint="eastAsia"/>
          <w:bCs/>
          <w:sz w:val="24"/>
          <w:szCs w:val="21"/>
          <w:u w:val="single"/>
        </w:rPr>
        <w:t>_______ __________</w:t>
      </w:r>
      <w:r>
        <w:rPr>
          <w:rFonts w:ascii="宋体" w:cs="宋体" w:hint="eastAsia"/>
          <w:bCs/>
          <w:sz w:val="24"/>
          <w:szCs w:val="21"/>
        </w:rPr>
        <w:t>（项目编号）投标活动。针对本项目投标人资格要求做出如下承诺：</w:t>
      </w:r>
    </w:p>
    <w:p>
      <w:pPr>
        <w:spacing w:line="360" w:lineRule="auto"/>
        <w:ind w:firstLineChars="200" w:firstLine="480"/>
        <w:rPr>
          <w:rFonts w:ascii="宋体" w:cs="宋体"/>
          <w:sz w:val="24"/>
        </w:rPr>
      </w:pPr>
      <w:r>
        <w:rPr>
          <w:rFonts w:ascii="宋体" w:cs="宋体" w:hint="eastAsia"/>
          <w:bCs/>
          <w:sz w:val="24"/>
          <w:szCs w:val="21"/>
        </w:rPr>
        <w:t>1.我单位具有独立承担民事责任的能力；</w:t>
      </w:r>
    </w:p>
    <w:p>
      <w:pPr>
        <w:spacing w:line="360" w:lineRule="auto"/>
        <w:ind w:firstLineChars="200" w:firstLine="480"/>
        <w:rPr>
          <w:rFonts w:ascii="宋体" w:cs="宋体"/>
          <w:sz w:val="24"/>
        </w:rPr>
      </w:pPr>
      <w:r>
        <w:rPr>
          <w:rFonts w:ascii="宋体" w:cs="宋体" w:hint="eastAsia"/>
          <w:sz w:val="24"/>
        </w:rPr>
        <w:t>2.我单位具有良好的商业信誉和健全的财务会计制度；</w:t>
      </w:r>
    </w:p>
    <w:p>
      <w:pPr>
        <w:spacing w:line="360" w:lineRule="auto"/>
        <w:ind w:firstLineChars="200" w:firstLine="480"/>
        <w:rPr>
          <w:rFonts w:ascii="宋体" w:cs="宋体"/>
          <w:sz w:val="24"/>
        </w:rPr>
      </w:pPr>
      <w:r>
        <w:rPr>
          <w:rFonts w:ascii="宋体" w:cs="宋体" w:hint="eastAsia"/>
          <w:sz w:val="24"/>
        </w:rPr>
        <w:t>3.我单位具有履行合同所必需的设备和专业技术能力；</w:t>
      </w:r>
    </w:p>
    <w:p>
      <w:pPr>
        <w:spacing w:line="360" w:lineRule="auto"/>
        <w:ind w:firstLineChars="200" w:firstLine="480"/>
        <w:rPr>
          <w:rFonts w:ascii="宋体" w:cs="宋体"/>
          <w:sz w:val="24"/>
        </w:rPr>
      </w:pPr>
      <w:r>
        <w:rPr>
          <w:rFonts w:ascii="宋体" w:cs="宋体" w:hint="eastAsia"/>
          <w:sz w:val="24"/>
        </w:rPr>
        <w:t>4.我单位有依法缴纳税收和社会保障资金的良好记录；</w:t>
      </w:r>
    </w:p>
    <w:p>
      <w:pPr>
        <w:spacing w:line="360" w:lineRule="auto"/>
        <w:ind w:firstLineChars="200" w:firstLine="480"/>
        <w:rPr>
          <w:rFonts w:ascii="宋体" w:cs="宋体"/>
          <w:sz w:val="24"/>
        </w:rPr>
      </w:pPr>
      <w:r>
        <w:rPr>
          <w:rFonts w:ascii="宋体" w:cs="宋体" w:hint="eastAsia"/>
          <w:sz w:val="24"/>
        </w:rPr>
        <w:t>5.我单位参加采购活动前三年内，在经营活动中没有重大违法记录；（“较大数额罚款”认定为200万元以上的罚款，法律、行政法规以及国务院有关部门明确规定相关领域“较大数额罚款”标准高于200万元的，从其规定。）</w:t>
      </w:r>
    </w:p>
    <w:p>
      <w:pPr>
        <w:spacing w:line="360" w:lineRule="auto"/>
        <w:ind w:firstLineChars="200" w:firstLine="480"/>
        <w:rPr>
          <w:rFonts w:ascii="宋体" w:cs="宋体"/>
          <w:sz w:val="24"/>
        </w:rPr>
      </w:pPr>
      <w:r>
        <w:rPr>
          <w:rFonts w:ascii="宋体" w:cs="宋体" w:hint="eastAsia"/>
          <w:sz w:val="24"/>
        </w:rPr>
        <w:t>6.我单位满足法律、行政法规规定的其他条件。</w:t>
      </w:r>
    </w:p>
    <w:p>
      <w:pPr>
        <w:spacing w:line="360" w:lineRule="auto"/>
        <w:ind w:firstLineChars="200" w:firstLine="480"/>
        <w:rPr>
          <w:rFonts w:ascii="宋体" w:cs="宋体"/>
          <w:sz w:val="24"/>
        </w:rPr>
      </w:pPr>
    </w:p>
    <w:p>
      <w:pPr>
        <w:spacing w:line="360" w:lineRule="auto"/>
        <w:ind w:firstLineChars="200" w:firstLine="480"/>
        <w:rPr>
          <w:rFonts w:ascii="宋体" w:cs="宋体"/>
          <w:sz w:val="24"/>
        </w:rPr>
      </w:pPr>
    </w:p>
    <w:p>
      <w:pPr>
        <w:spacing w:line="360" w:lineRule="auto"/>
        <w:ind w:firstLineChars="200" w:firstLine="480"/>
        <w:rPr>
          <w:rFonts w:ascii="宋体" w:cs="宋体"/>
          <w:bCs/>
          <w:sz w:val="24"/>
          <w:szCs w:val="21"/>
        </w:rPr>
      </w:pPr>
    </w:p>
    <w:p>
      <w:pPr>
        <w:spacing w:line="360" w:lineRule="auto"/>
        <w:ind w:firstLineChars="200" w:firstLine="480"/>
        <w:rPr>
          <w:rFonts w:ascii="宋体" w:cs="宋体"/>
          <w:bCs/>
          <w:sz w:val="24"/>
          <w:szCs w:val="21"/>
        </w:rPr>
      </w:pPr>
    </w:p>
    <w:p>
      <w:pPr>
        <w:spacing w:line="360" w:lineRule="auto"/>
        <w:ind w:firstLineChars="200" w:firstLine="480"/>
        <w:rPr>
          <w:rFonts w:ascii="宋体" w:cs="宋体"/>
          <w:bCs/>
          <w:sz w:val="24"/>
          <w:szCs w:val="21"/>
        </w:rPr>
      </w:pPr>
    </w:p>
    <w:p>
      <w:pPr>
        <w:spacing w:line="360" w:lineRule="auto"/>
        <w:ind w:firstLineChars="200" w:firstLine="480"/>
        <w:jc w:val="center"/>
        <w:rPr>
          <w:rFonts w:ascii="宋体" w:cs="宋体"/>
          <w:bCs/>
          <w:sz w:val="24"/>
          <w:szCs w:val="21"/>
        </w:rPr>
      </w:pPr>
      <w:r>
        <w:rPr>
          <w:rFonts w:ascii="宋体" w:cs="宋体" w:hint="eastAsia"/>
          <w:bCs/>
          <w:sz w:val="24"/>
          <w:szCs w:val="21"/>
        </w:rPr>
        <w:t xml:space="preserve">                                             承诺人名称（公章）：</w:t>
      </w:r>
    </w:p>
    <w:p>
      <w:pPr>
        <w:spacing w:line="360" w:lineRule="auto"/>
        <w:ind w:firstLineChars="200" w:firstLine="480"/>
        <w:jc w:val="right"/>
        <w:rPr>
          <w:rFonts w:ascii="宋体" w:cs="宋体"/>
          <w:bCs/>
          <w:sz w:val="24"/>
          <w:szCs w:val="21"/>
        </w:rPr>
      </w:pPr>
    </w:p>
    <w:p>
      <w:pPr>
        <w:spacing w:line="360" w:lineRule="auto"/>
        <w:ind w:firstLineChars="200" w:firstLine="480"/>
        <w:jc w:val="right"/>
        <w:rPr>
          <w:rFonts w:ascii="宋体" w:cs="宋体"/>
          <w:bCs/>
          <w:sz w:val="24"/>
          <w:szCs w:val="21"/>
        </w:rPr>
      </w:pPr>
    </w:p>
    <w:p>
      <w:pPr>
        <w:spacing w:line="360" w:lineRule="auto"/>
        <w:ind w:firstLineChars="200" w:firstLine="480"/>
        <w:jc w:val="right"/>
        <w:rPr>
          <w:rFonts w:ascii="宋体" w:cs="宋体"/>
          <w:bCs/>
          <w:sz w:val="24"/>
          <w:szCs w:val="21"/>
        </w:rPr>
      </w:pPr>
      <w:r>
        <w:rPr>
          <w:rFonts w:ascii="宋体" w:cs="宋体" w:hint="eastAsia"/>
          <w:bCs/>
          <w:sz w:val="24"/>
          <w:szCs w:val="21"/>
        </w:rPr>
        <w:t xml:space="preserve">    </w:t>
      </w:r>
    </w:p>
    <w:p>
      <w:pPr>
        <w:spacing w:line="360" w:lineRule="auto"/>
        <w:ind w:firstLineChars="200" w:firstLine="480"/>
        <w:jc w:val="right"/>
        <w:rPr>
          <w:rFonts w:ascii="宋体" w:cs="宋体"/>
          <w:bCs/>
          <w:sz w:val="24"/>
          <w:szCs w:val="21"/>
        </w:rPr>
      </w:pPr>
      <w:r>
        <w:rPr>
          <w:rFonts w:ascii="宋体" w:cs="宋体" w:hint="eastAsia"/>
          <w:bCs/>
          <w:sz w:val="24"/>
          <w:szCs w:val="21"/>
        </w:rPr>
        <w:t xml:space="preserve">                                 日期：</w:t>
      </w:r>
      <w:r>
        <w:rPr>
          <w:rFonts w:ascii="宋体" w:cs="宋体" w:hint="eastAsia"/>
          <w:bCs/>
          <w:sz w:val="24"/>
          <w:szCs w:val="21"/>
          <w:u w:val="single"/>
        </w:rPr>
        <w:t>______</w:t>
      </w:r>
      <w:r>
        <w:rPr>
          <w:rFonts w:ascii="宋体" w:cs="宋体" w:hint="eastAsia"/>
          <w:bCs/>
          <w:sz w:val="24"/>
          <w:szCs w:val="21"/>
        </w:rPr>
        <w:t>年</w:t>
      </w:r>
      <w:r>
        <w:rPr>
          <w:rFonts w:ascii="宋体" w:cs="宋体" w:hint="eastAsia"/>
          <w:bCs/>
          <w:sz w:val="24"/>
          <w:szCs w:val="21"/>
          <w:u w:val="single"/>
        </w:rPr>
        <w:t xml:space="preserve">    </w:t>
      </w:r>
      <w:r>
        <w:rPr>
          <w:rFonts w:ascii="宋体" w:cs="宋体" w:hint="eastAsia"/>
          <w:bCs/>
          <w:sz w:val="24"/>
          <w:szCs w:val="21"/>
        </w:rPr>
        <w:t>月</w:t>
      </w:r>
      <w:r>
        <w:rPr>
          <w:rFonts w:ascii="宋体" w:cs="宋体" w:hint="eastAsia"/>
          <w:bCs/>
          <w:sz w:val="24"/>
          <w:szCs w:val="21"/>
          <w:u w:val="single"/>
        </w:rPr>
        <w:t xml:space="preserve">    </w:t>
      </w:r>
      <w:r>
        <w:rPr>
          <w:rFonts w:ascii="宋体" w:cs="宋体" w:hint="eastAsia"/>
          <w:bCs/>
          <w:sz w:val="24"/>
          <w:szCs w:val="21"/>
        </w:rPr>
        <w:t>日</w:t>
      </w:r>
    </w:p>
    <w:p>
      <w:pPr>
        <w:snapToGrid w:val="0"/>
        <w:spacing w:line="360" w:lineRule="auto"/>
        <w:ind w:firstLineChars="192" w:firstLine="538"/>
        <w:contextualSpacing/>
        <w:rPr>
          <w:rFonts w:ascii="宋体" w:cs="宋体"/>
          <w:b/>
          <w:kern w:val="0"/>
          <w:sz w:val="28"/>
          <w:szCs w:val="28"/>
        </w:rPr>
      </w:pPr>
    </w:p>
    <w:p>
      <w:pPr>
        <w:snapToGrid w:val="0"/>
        <w:spacing w:line="360" w:lineRule="auto"/>
        <w:ind w:firstLineChars="192" w:firstLine="538"/>
        <w:contextualSpacing/>
        <w:rPr>
          <w:rFonts w:ascii="宋体" w:cs="宋体"/>
          <w:b/>
          <w:kern w:val="0"/>
          <w:sz w:val="28"/>
          <w:szCs w:val="28"/>
        </w:rPr>
      </w:pPr>
    </w:p>
    <w:p>
      <w:pPr>
        <w:snapToGrid w:val="0"/>
        <w:spacing w:line="360" w:lineRule="auto"/>
        <w:contextualSpacing/>
        <w:rPr>
          <w:rFonts w:ascii="宋体" w:cs="宋体"/>
          <w:kern w:val="0"/>
          <w:sz w:val="32"/>
          <w:szCs w:val="32"/>
          <w:lang w:val="zh-CN"/>
        </w:rPr>
      </w:pPr>
      <w:r>
        <w:rPr>
          <w:rFonts w:ascii="宋体" w:cs="宋体" w:hint="eastAsia"/>
          <w:kern w:val="0"/>
          <w:sz w:val="32"/>
          <w:szCs w:val="32"/>
          <w:lang w:val="zh-CN"/>
        </w:rPr>
        <w:br w:type="page"/>
        <w:t>附件2</w:t>
      </w:r>
    </w:p>
    <w:p>
      <w:pPr>
        <w:spacing w:line="360" w:lineRule="auto"/>
        <w:jc w:val="center"/>
        <w:rPr>
          <w:rFonts w:ascii="宋体" w:cs="宋体"/>
          <w:b/>
          <w:bCs/>
          <w:sz w:val="32"/>
          <w:szCs w:val="32"/>
        </w:rPr>
      </w:pPr>
    </w:p>
    <w:p>
      <w:pPr>
        <w:spacing w:line="360" w:lineRule="auto"/>
        <w:jc w:val="center"/>
        <w:rPr>
          <w:rFonts w:ascii="宋体" w:cs="宋体"/>
          <w:b/>
          <w:bCs/>
          <w:sz w:val="32"/>
          <w:szCs w:val="32"/>
        </w:rPr>
      </w:pPr>
    </w:p>
    <w:p>
      <w:pPr>
        <w:spacing w:line="360" w:lineRule="auto"/>
        <w:jc w:val="center"/>
        <w:rPr>
          <w:rFonts w:ascii="宋体" w:cs="宋体"/>
          <w:b/>
          <w:bCs/>
          <w:sz w:val="32"/>
          <w:szCs w:val="32"/>
        </w:rPr>
      </w:pPr>
    </w:p>
    <w:p>
      <w:pPr>
        <w:spacing w:line="360" w:lineRule="auto"/>
        <w:jc w:val="center"/>
        <w:rPr>
          <w:rFonts w:ascii="宋体" w:cs="宋体"/>
          <w:b/>
          <w:bCs/>
          <w:sz w:val="32"/>
          <w:szCs w:val="32"/>
        </w:rPr>
      </w:pPr>
      <w:r>
        <w:rPr>
          <w:rFonts w:ascii="宋体" w:cs="宋体" w:hint="eastAsia"/>
          <w:b/>
          <w:bCs/>
          <w:sz w:val="32"/>
          <w:szCs w:val="32"/>
        </w:rPr>
        <w:t>法定代表人身份证明</w:t>
      </w:r>
    </w:p>
    <w:p>
      <w:pPr>
        <w:spacing w:line="360" w:lineRule="auto"/>
        <w:rPr>
          <w:rFonts w:ascii="宋体" w:cs="宋体"/>
          <w:sz w:val="24"/>
        </w:rPr>
      </w:pPr>
    </w:p>
    <w:p>
      <w:pPr>
        <w:spacing w:line="360" w:lineRule="auto"/>
        <w:ind w:firstLineChars="200" w:firstLine="480"/>
        <w:rPr>
          <w:rFonts w:ascii="宋体" w:cs="宋体"/>
          <w:sz w:val="24"/>
        </w:rPr>
      </w:pPr>
      <w:r>
        <w:rPr>
          <w:rFonts w:ascii="宋体" w:cs="宋体" w:hint="eastAsia"/>
          <w:sz w:val="24"/>
          <w:u w:val="single"/>
        </w:rPr>
        <w:t xml:space="preserve">        </w:t>
      </w:r>
      <w:r>
        <w:rPr>
          <w:rFonts w:ascii="宋体" w:cs="宋体" w:hint="eastAsia"/>
          <w:sz w:val="24"/>
        </w:rPr>
        <w:t>先生/女士： 现任我单位</w:t>
      </w:r>
      <w:r>
        <w:rPr>
          <w:rFonts w:ascii="宋体" w:cs="宋体" w:hint="eastAsia"/>
          <w:sz w:val="24"/>
          <w:u w:val="single"/>
        </w:rPr>
        <w:t xml:space="preserve">        </w:t>
      </w:r>
      <w:r>
        <w:rPr>
          <w:rFonts w:ascii="宋体" w:cs="宋体" w:hint="eastAsia"/>
          <w:sz w:val="24"/>
        </w:rPr>
        <w:t>职务，为法定代表人，特此证明。</w:t>
      </w:r>
    </w:p>
    <w:p>
      <w:pPr>
        <w:spacing w:line="360" w:lineRule="auto"/>
        <w:ind w:firstLine="480"/>
        <w:rPr>
          <w:rFonts w:ascii="宋体" w:cs="宋体"/>
          <w:sz w:val="24"/>
          <w:u w:val="single"/>
        </w:rPr>
      </w:pPr>
      <w:r>
        <w:rPr>
          <w:rFonts w:ascii="宋体" w:cs="宋体" w:hint="eastAsia"/>
          <w:sz w:val="24"/>
        </w:rPr>
        <w:t>身份证号码：</w:t>
      </w:r>
      <w:r>
        <w:rPr>
          <w:rFonts w:ascii="宋体" w:cs="宋体" w:hint="eastAsia"/>
          <w:sz w:val="24"/>
          <w:u w:val="single"/>
        </w:rPr>
        <w:t xml:space="preserve">                                               </w:t>
      </w:r>
    </w:p>
    <w:p>
      <w:pPr>
        <w:spacing w:line="360" w:lineRule="auto"/>
        <w:ind w:firstLine="480"/>
        <w:rPr>
          <w:rFonts w:ascii="宋体" w:cs="宋体"/>
          <w:sz w:val="24"/>
        </w:rPr>
      </w:pPr>
    </w:p>
    <w:p>
      <w:pPr>
        <w:spacing w:line="360" w:lineRule="auto"/>
        <w:rPr>
          <w:rFonts w:ascii="宋体" w:cs="宋体"/>
          <w:b/>
          <w:sz w:val="24"/>
        </w:rPr>
      </w:pPr>
      <w:r>
        <w:rPr>
          <w:rFonts w:ascii="宋体" w:cs="宋体" w:hint="eastAsia"/>
          <w:b/>
          <w:sz w:val="24"/>
        </w:rPr>
        <w:t>注：提供法定代表人的身份证复印件盖公章</w:t>
      </w:r>
    </w:p>
    <w:p>
      <w:pPr>
        <w:spacing w:line="360" w:lineRule="auto"/>
        <w:ind w:firstLineChars="200" w:firstLine="480"/>
        <w:rPr>
          <w:rFonts w:ascii="宋体" w:cs="宋体"/>
          <w:sz w:val="24"/>
        </w:rPr>
      </w:pPr>
    </w:p>
    <w:p>
      <w:pPr>
        <w:spacing w:line="360" w:lineRule="auto"/>
        <w:rPr>
          <w:rFonts w:ascii="宋体" w:cs="宋体"/>
        </w:rPr>
      </w:pPr>
    </w:p>
    <w:p>
      <w:pPr>
        <w:snapToGrid w:val="0"/>
        <w:spacing w:line="360" w:lineRule="auto"/>
        <w:ind w:firstLineChars="192" w:firstLine="538"/>
        <w:contextualSpacing/>
        <w:rPr>
          <w:rFonts w:ascii="宋体" w:cs="宋体"/>
          <w:b/>
          <w:kern w:val="0"/>
          <w:sz w:val="28"/>
          <w:szCs w:val="28"/>
        </w:rPr>
      </w:pPr>
    </w:p>
    <w:p>
      <w:pPr>
        <w:snapToGrid w:val="0"/>
        <w:spacing w:line="360" w:lineRule="auto"/>
        <w:ind w:firstLineChars="192" w:firstLine="538"/>
        <w:contextualSpacing/>
        <w:rPr>
          <w:rFonts w:ascii="宋体" w:cs="宋体"/>
          <w:b/>
          <w:kern w:val="0"/>
          <w:sz w:val="28"/>
          <w:szCs w:val="28"/>
          <w:lang w:val="zh-CN"/>
        </w:rPr>
      </w:pPr>
    </w:p>
    <w:p>
      <w:pPr>
        <w:snapToGrid w:val="0"/>
        <w:spacing w:line="360" w:lineRule="auto"/>
        <w:ind w:firstLineChars="192" w:firstLine="538"/>
        <w:contextualSpacing/>
        <w:rPr>
          <w:rFonts w:ascii="宋体" w:cs="宋体"/>
          <w:b/>
          <w:kern w:val="0"/>
          <w:sz w:val="28"/>
          <w:szCs w:val="28"/>
          <w:lang w:val="zh-CN"/>
        </w:rPr>
      </w:pPr>
    </w:p>
    <w:p>
      <w:pPr>
        <w:snapToGrid w:val="0"/>
        <w:spacing w:line="360" w:lineRule="auto"/>
        <w:ind w:firstLineChars="192" w:firstLine="538"/>
        <w:contextualSpacing/>
        <w:rPr>
          <w:rFonts w:ascii="宋体" w:cs="宋体"/>
          <w:b/>
          <w:kern w:val="0"/>
          <w:sz w:val="28"/>
          <w:szCs w:val="28"/>
          <w:lang w:val="zh-CN"/>
        </w:rPr>
      </w:pPr>
    </w:p>
    <w:p>
      <w:pPr>
        <w:snapToGrid w:val="0"/>
        <w:spacing w:line="360" w:lineRule="auto"/>
        <w:ind w:firstLineChars="192" w:firstLine="538"/>
        <w:contextualSpacing/>
        <w:rPr>
          <w:rFonts w:ascii="宋体" w:cs="宋体"/>
          <w:b/>
          <w:kern w:val="0"/>
          <w:sz w:val="28"/>
          <w:szCs w:val="28"/>
          <w:lang w:val="zh-CN"/>
        </w:rPr>
      </w:pPr>
    </w:p>
    <w:p>
      <w:pPr>
        <w:snapToGrid w:val="0"/>
        <w:spacing w:line="360" w:lineRule="auto"/>
        <w:ind w:firstLineChars="192" w:firstLine="538"/>
        <w:contextualSpacing/>
        <w:rPr>
          <w:rFonts w:ascii="宋体" w:cs="宋体"/>
          <w:b/>
          <w:kern w:val="0"/>
          <w:sz w:val="28"/>
          <w:szCs w:val="28"/>
          <w:lang w:val="zh-CN"/>
        </w:rPr>
      </w:pPr>
    </w:p>
    <w:p>
      <w:pPr>
        <w:snapToGrid w:val="0"/>
        <w:spacing w:line="360" w:lineRule="auto"/>
        <w:ind w:firstLineChars="192" w:firstLine="538"/>
        <w:contextualSpacing/>
        <w:rPr>
          <w:rFonts w:ascii="宋体" w:cs="宋体"/>
          <w:b/>
          <w:kern w:val="0"/>
          <w:sz w:val="28"/>
          <w:szCs w:val="28"/>
          <w:lang w:val="zh-CN"/>
        </w:rPr>
      </w:pPr>
    </w:p>
    <w:p>
      <w:pPr>
        <w:snapToGrid w:val="0"/>
        <w:spacing w:line="360" w:lineRule="auto"/>
        <w:ind w:firstLineChars="192" w:firstLine="538"/>
        <w:contextualSpacing/>
        <w:rPr>
          <w:rFonts w:ascii="宋体" w:cs="宋体"/>
          <w:b/>
          <w:kern w:val="0"/>
          <w:sz w:val="28"/>
          <w:szCs w:val="28"/>
          <w:lang w:val="zh-CN"/>
        </w:rPr>
      </w:pPr>
    </w:p>
    <w:p>
      <w:pPr>
        <w:snapToGrid w:val="0"/>
        <w:spacing w:line="360" w:lineRule="auto"/>
        <w:ind w:firstLineChars="192" w:firstLine="538"/>
        <w:contextualSpacing/>
        <w:rPr>
          <w:rFonts w:ascii="宋体" w:cs="宋体"/>
          <w:b/>
          <w:kern w:val="0"/>
          <w:sz w:val="28"/>
          <w:szCs w:val="28"/>
          <w:lang w:val="zh-CN"/>
        </w:rPr>
      </w:pPr>
    </w:p>
    <w:p>
      <w:pPr>
        <w:snapToGrid w:val="0"/>
        <w:spacing w:line="360" w:lineRule="auto"/>
        <w:ind w:firstLineChars="192" w:firstLine="538"/>
        <w:contextualSpacing/>
        <w:rPr>
          <w:rFonts w:ascii="宋体" w:cs="宋体"/>
          <w:b/>
          <w:kern w:val="0"/>
          <w:sz w:val="28"/>
          <w:szCs w:val="28"/>
          <w:lang w:val="zh-CN"/>
        </w:rPr>
      </w:pPr>
    </w:p>
    <w:p>
      <w:pPr>
        <w:snapToGrid w:val="0"/>
        <w:spacing w:line="360" w:lineRule="auto"/>
        <w:contextualSpacing/>
        <w:rPr>
          <w:rFonts w:ascii="宋体" w:cs="宋体"/>
          <w:kern w:val="0"/>
          <w:sz w:val="32"/>
          <w:szCs w:val="32"/>
          <w:lang w:val="zh-CN"/>
        </w:rPr>
      </w:pPr>
      <w:r>
        <w:rPr>
          <w:rFonts w:ascii="宋体" w:cs="宋体" w:hint="eastAsia"/>
          <w:kern w:val="0"/>
          <w:sz w:val="32"/>
          <w:szCs w:val="32"/>
          <w:lang w:val="zh-CN"/>
        </w:rPr>
        <w:br w:type="page"/>
        <w:t>附件3</w:t>
      </w:r>
    </w:p>
    <w:p>
      <w:pPr>
        <w:spacing w:line="360" w:lineRule="auto"/>
        <w:jc w:val="center"/>
        <w:rPr>
          <w:rFonts w:ascii="宋体" w:cs="宋体"/>
          <w:sz w:val="32"/>
          <w:szCs w:val="32"/>
        </w:rPr>
      </w:pPr>
    </w:p>
    <w:p>
      <w:pPr>
        <w:spacing w:line="360" w:lineRule="auto"/>
        <w:ind w:firstLineChars="200" w:firstLine="560"/>
        <w:jc w:val="center"/>
        <w:rPr>
          <w:rFonts w:ascii="宋体" w:cs="宋体"/>
          <w:sz w:val="28"/>
          <w:szCs w:val="28"/>
        </w:rPr>
      </w:pPr>
      <w:r>
        <w:rPr>
          <w:rFonts w:ascii="宋体" w:cs="宋体" w:hint="eastAsia"/>
          <w:sz w:val="28"/>
          <w:szCs w:val="28"/>
        </w:rPr>
        <w:t>法定代表人授权委托书</w:t>
      </w:r>
    </w:p>
    <w:p>
      <w:pPr>
        <w:spacing w:line="360" w:lineRule="auto"/>
        <w:ind w:firstLineChars="200" w:firstLine="560"/>
        <w:rPr>
          <w:rFonts w:ascii="宋体" w:cs="宋体"/>
          <w:sz w:val="28"/>
          <w:szCs w:val="28"/>
        </w:rPr>
      </w:pPr>
    </w:p>
    <w:p>
      <w:pPr>
        <w:spacing w:line="360" w:lineRule="auto"/>
        <w:ind w:firstLineChars="200" w:firstLine="560"/>
        <w:rPr>
          <w:rFonts w:ascii="宋体" w:cs="宋体"/>
          <w:sz w:val="28"/>
          <w:szCs w:val="28"/>
        </w:rPr>
      </w:pPr>
      <w:r>
        <w:rPr>
          <w:rFonts w:ascii="宋体" w:cs="宋体" w:hint="eastAsia"/>
          <w:sz w:val="28"/>
          <w:szCs w:val="28"/>
        </w:rPr>
        <w:t>本人------（姓名）系————（授权单位名称）的法定代表人，现委托-------（姓名）（身份证号——————）为我方代理人，以我方名义全权处理与本次采购项目（编号：----------）有关的一切事务，其法律后果由我方承担。</w:t>
      </w:r>
    </w:p>
    <w:p>
      <w:pPr>
        <w:spacing w:line="360" w:lineRule="auto"/>
        <w:ind w:firstLineChars="200" w:firstLine="560"/>
        <w:rPr>
          <w:rFonts w:ascii="宋体" w:cs="宋体"/>
          <w:sz w:val="28"/>
          <w:szCs w:val="28"/>
        </w:rPr>
      </w:pPr>
      <w:r>
        <w:rPr>
          <w:rFonts w:ascii="宋体" w:cs="宋体" w:hint="eastAsia"/>
          <w:sz w:val="28"/>
          <w:szCs w:val="28"/>
        </w:rPr>
        <w:t>本授权书于---年---月---日起生效。代理人无转委托权。</w:t>
      </w:r>
    </w:p>
    <w:p>
      <w:pPr>
        <w:spacing w:line="360" w:lineRule="auto"/>
        <w:ind w:firstLineChars="200" w:firstLine="560"/>
        <w:rPr>
          <w:rFonts w:ascii="宋体" w:cs="宋体"/>
          <w:sz w:val="28"/>
          <w:szCs w:val="28"/>
        </w:rPr>
      </w:pPr>
      <w:r>
        <w:rPr>
          <w:rFonts w:ascii="宋体" w:cs="宋体" w:hint="eastAsia"/>
          <w:sz w:val="28"/>
          <w:szCs w:val="28"/>
        </w:rPr>
        <w:t>代理人(被授权人):------</w:t>
      </w:r>
    </w:p>
    <w:p>
      <w:pPr>
        <w:spacing w:line="360" w:lineRule="auto"/>
        <w:ind w:firstLineChars="200" w:firstLine="560"/>
        <w:rPr>
          <w:rFonts w:ascii="宋体" w:cs="宋体"/>
          <w:sz w:val="28"/>
          <w:szCs w:val="28"/>
        </w:rPr>
      </w:pPr>
      <w:r>
        <w:rPr>
          <w:rFonts w:ascii="宋体" w:cs="宋体" w:hint="eastAsia"/>
          <w:sz w:val="28"/>
          <w:szCs w:val="28"/>
        </w:rPr>
        <w:t>授权单位名称（盖章）：-----</w:t>
      </w:r>
    </w:p>
    <w:p>
      <w:pPr>
        <w:spacing w:line="360" w:lineRule="auto"/>
        <w:ind w:firstLineChars="200" w:firstLine="560"/>
        <w:rPr>
          <w:rFonts w:ascii="宋体" w:cs="宋体"/>
          <w:sz w:val="28"/>
          <w:szCs w:val="28"/>
        </w:rPr>
      </w:pPr>
      <w:r>
        <w:rPr>
          <w:rFonts w:ascii="宋体" w:cs="宋体" w:hint="eastAsia"/>
          <w:sz w:val="28"/>
          <w:szCs w:val="28"/>
        </w:rPr>
        <w:t>授权单位法定代表人（签字或盖章）：-----</w:t>
      </w:r>
    </w:p>
    <w:p>
      <w:pPr>
        <w:spacing w:line="360" w:lineRule="auto"/>
        <w:ind w:firstLineChars="200" w:firstLine="560"/>
        <w:jc w:val="right"/>
        <w:rPr>
          <w:rFonts w:ascii="宋体" w:cs="宋体"/>
          <w:sz w:val="28"/>
          <w:szCs w:val="28"/>
        </w:rPr>
      </w:pPr>
    </w:p>
    <w:p>
      <w:pPr>
        <w:spacing w:line="360" w:lineRule="auto"/>
        <w:ind w:firstLineChars="200" w:firstLine="560"/>
        <w:jc w:val="right"/>
        <w:rPr>
          <w:rFonts w:ascii="宋体" w:cs="宋体"/>
          <w:sz w:val="28"/>
          <w:szCs w:val="28"/>
        </w:rPr>
      </w:pPr>
      <w:r>
        <w:rPr>
          <w:rFonts w:ascii="宋体" w:cs="宋体" w:hint="eastAsia"/>
          <w:sz w:val="28"/>
          <w:szCs w:val="28"/>
        </w:rPr>
        <w:t>XXXX年XX月XX日</w:t>
      </w:r>
    </w:p>
    <w:p>
      <w:pPr>
        <w:snapToGrid w:val="0"/>
        <w:spacing w:line="360" w:lineRule="auto"/>
        <w:ind w:firstLineChars="200" w:firstLine="560"/>
        <w:contextualSpacing/>
        <w:rPr>
          <w:rFonts w:ascii="宋体" w:cs="宋体"/>
          <w:b/>
          <w:kern w:val="0"/>
          <w:sz w:val="28"/>
          <w:szCs w:val="28"/>
        </w:rPr>
      </w:pPr>
    </w:p>
    <w:p>
      <w:pPr>
        <w:snapToGrid w:val="0"/>
        <w:spacing w:line="360" w:lineRule="auto"/>
        <w:ind w:firstLineChars="200" w:firstLine="560"/>
        <w:contextualSpacing/>
        <w:rPr>
          <w:rFonts w:ascii="宋体" w:cs="宋体"/>
          <w:b/>
          <w:kern w:val="0"/>
          <w:sz w:val="28"/>
          <w:szCs w:val="28"/>
        </w:rPr>
      </w:pPr>
      <w:r>
        <w:rPr>
          <w:rFonts w:ascii="宋体" w:cs="宋体" w:hint="eastAsia"/>
          <w:b/>
          <w:kern w:val="0"/>
          <w:sz w:val="28"/>
          <w:szCs w:val="28"/>
        </w:rPr>
        <w:t>注：提供投标代表本人身份证复印件盖公章</w:t>
      </w:r>
    </w:p>
    <w:p>
      <w:pPr>
        <w:snapToGrid w:val="0"/>
        <w:spacing w:line="360" w:lineRule="auto"/>
        <w:ind w:firstLineChars="200" w:firstLine="560"/>
        <w:contextualSpacing/>
        <w:rPr>
          <w:rFonts w:ascii="宋体" w:cs="宋体"/>
          <w:b/>
          <w:kern w:val="0"/>
          <w:sz w:val="28"/>
          <w:szCs w:val="28"/>
        </w:rPr>
      </w:pPr>
    </w:p>
    <w:p>
      <w:pPr>
        <w:snapToGrid w:val="0"/>
        <w:spacing w:line="360" w:lineRule="auto"/>
        <w:ind w:firstLineChars="192" w:firstLine="538"/>
        <w:contextualSpacing/>
        <w:rPr>
          <w:rFonts w:ascii="宋体" w:cs="宋体"/>
          <w:b/>
          <w:kern w:val="0"/>
          <w:sz w:val="28"/>
          <w:szCs w:val="28"/>
        </w:rPr>
      </w:pPr>
    </w:p>
    <w:p>
      <w:pPr>
        <w:snapToGrid w:val="0"/>
        <w:spacing w:line="360" w:lineRule="auto"/>
        <w:ind w:firstLineChars="192" w:firstLine="538"/>
        <w:contextualSpacing/>
        <w:rPr>
          <w:rFonts w:ascii="宋体" w:cs="宋体"/>
          <w:b/>
          <w:kern w:val="0"/>
          <w:sz w:val="28"/>
          <w:szCs w:val="28"/>
        </w:rPr>
      </w:pPr>
    </w:p>
    <w:p>
      <w:pPr>
        <w:snapToGrid w:val="0"/>
        <w:spacing w:line="360" w:lineRule="auto"/>
        <w:ind w:firstLineChars="192" w:firstLine="538"/>
        <w:contextualSpacing/>
        <w:rPr>
          <w:rFonts w:ascii="宋体" w:cs="宋体"/>
          <w:b/>
          <w:kern w:val="0"/>
          <w:sz w:val="28"/>
          <w:szCs w:val="28"/>
        </w:rPr>
      </w:pPr>
    </w:p>
    <w:p>
      <w:pPr>
        <w:snapToGrid w:val="0"/>
        <w:spacing w:line="360" w:lineRule="auto"/>
        <w:ind w:firstLineChars="192" w:firstLine="538"/>
        <w:contextualSpacing/>
        <w:rPr>
          <w:rFonts w:ascii="宋体" w:cs="宋体"/>
          <w:b/>
          <w:kern w:val="0"/>
          <w:sz w:val="28"/>
          <w:szCs w:val="28"/>
        </w:rPr>
      </w:pPr>
    </w:p>
    <w:p>
      <w:pPr>
        <w:snapToGrid w:val="0"/>
        <w:spacing w:line="360" w:lineRule="auto"/>
        <w:ind w:firstLineChars="192" w:firstLine="538"/>
        <w:contextualSpacing/>
        <w:rPr>
          <w:rFonts w:ascii="宋体" w:cs="宋体"/>
          <w:b/>
          <w:kern w:val="0"/>
          <w:sz w:val="28"/>
          <w:szCs w:val="28"/>
        </w:rPr>
      </w:pPr>
    </w:p>
    <w:p>
      <w:pPr>
        <w:snapToGrid w:val="0"/>
        <w:spacing w:line="360" w:lineRule="auto"/>
        <w:ind w:firstLineChars="192" w:firstLine="538"/>
        <w:contextualSpacing/>
        <w:rPr>
          <w:rFonts w:ascii="宋体" w:cs="宋体"/>
          <w:b/>
          <w:kern w:val="0"/>
          <w:sz w:val="28"/>
          <w:szCs w:val="28"/>
        </w:rPr>
      </w:pPr>
    </w:p>
    <w:p>
      <w:pPr>
        <w:pStyle w:val="21"/>
        <w:rPr>
          <w:rFonts w:ascii="宋体" w:cs="宋体"/>
          <w:b/>
          <w:kern w:val="0"/>
          <w:szCs w:val="28"/>
        </w:rPr>
      </w:pPr>
    </w:p>
    <w:p>
      <w:pPr>
        <w:pStyle w:val="21"/>
        <w:rPr>
          <w:rFonts w:ascii="宋体" w:cs="宋体"/>
          <w:b/>
          <w:kern w:val="0"/>
          <w:szCs w:val="28"/>
        </w:rPr>
      </w:pPr>
    </w:p>
    <w:p>
      <w:pPr>
        <w:pStyle w:val="21"/>
        <w:rPr>
          <w:rFonts w:ascii="宋体" w:cs="宋体"/>
          <w:b/>
          <w:kern w:val="0"/>
          <w:szCs w:val="28"/>
        </w:rPr>
      </w:pPr>
    </w:p>
    <w:p>
      <w:pPr>
        <w:spacing w:line="300" w:lineRule="auto"/>
        <w:outlineLvl w:val="0"/>
        <w:rPr>
          <w:rFonts w:ascii="宋体" w:cs="宋体"/>
          <w:color w:val="000000"/>
          <w:sz w:val="32"/>
          <w:szCs w:val="32"/>
        </w:rPr>
      </w:pPr>
      <w:r>
        <w:rPr>
          <w:rFonts w:ascii="宋体" w:cs="宋体" w:hint="eastAsia"/>
          <w:color w:val="000000"/>
          <w:sz w:val="32"/>
          <w:szCs w:val="32"/>
        </w:rPr>
        <w:t>附件4</w:t>
      </w:r>
    </w:p>
    <w:p>
      <w:pPr>
        <w:spacing w:line="300" w:lineRule="auto"/>
        <w:jc w:val="center"/>
        <w:outlineLvl w:val="0"/>
        <w:rPr>
          <w:rFonts w:ascii="宋体" w:cs="宋体"/>
          <w:b/>
          <w:color w:val="000000"/>
          <w:sz w:val="32"/>
          <w:szCs w:val="32"/>
        </w:rPr>
      </w:pPr>
      <w:r>
        <w:rPr>
          <w:rFonts w:ascii="宋体" w:cs="宋体" w:hint="eastAsia"/>
          <w:b/>
          <w:color w:val="000000"/>
          <w:sz w:val="32"/>
          <w:szCs w:val="32"/>
        </w:rPr>
        <w:t>商务部分正负偏离表</w:t>
      </w:r>
    </w:p>
    <w:p>
      <w:pPr>
        <w:ind w:firstLine="560"/>
        <w:jc w:val="center"/>
        <w:rPr>
          <w:rFonts w:ascii="宋体" w:cs="宋体"/>
          <w:color w:val="000000"/>
          <w:sz w:val="28"/>
          <w:szCs w:val="28"/>
        </w:rPr>
      </w:pPr>
      <w:r>
        <w:rPr>
          <w:rFonts w:ascii="宋体" w:cs="宋体" w:hint="eastAsia"/>
          <w:color w:val="000000"/>
          <w:sz w:val="28"/>
          <w:szCs w:val="28"/>
        </w:rPr>
        <w:t>（由供应商据实填写，表格不够自行添加）</w:t>
      </w:r>
    </w:p>
    <w:tbl>
      <w:tblPr>
        <w:jc w:val="left"/>
        <w:tblInd w:w="-108" w:type="dxa"/>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Grid>
        <w:gridCol w:w="783"/>
        <w:gridCol w:w="2138"/>
        <w:gridCol w:w="1867"/>
        <w:gridCol w:w="2409"/>
        <w:gridCol w:w="1326"/>
      </w:tblGrid>
      <w:tr>
        <w:trPr>
          <w:trHeight w:val="994"/>
        </w:trPr>
        <w:tc>
          <w:tcPr>
            <w:tcW w:w="460" w:type="dxa"/>
            <w:tcBorders>
              <w:top w:val="single" w:sz="6" w:space="0" w:color="000000"/>
              <w:left w:val="single" w:sz="6" w:space="0" w:color="000000"/>
              <w:bottom w:val="single" w:sz="12" w:space="0" w:color="000000"/>
              <w:right w:val="single" w:sz="6" w:space="0" w:color="000000"/>
            </w:tcBorders>
            <w:noWrap/>
            <w:vAlign w:val="center"/>
          </w:tcPr>
          <w:p>
            <w:pPr>
              <w:spacing w:line="340" w:lineRule="exact"/>
              <w:jc w:val="center"/>
              <w:rPr>
                <w:rFonts w:ascii="宋体" w:cs="宋体"/>
                <w:color w:val="000000"/>
                <w:sz w:val="24"/>
              </w:rPr>
            </w:pPr>
            <w:r>
              <w:rPr>
                <w:rFonts w:ascii="宋体" w:cs="宋体" w:hint="eastAsia"/>
                <w:color w:val="000000"/>
                <w:sz w:val="24"/>
              </w:rPr>
              <w:t>序号</w:t>
            </w:r>
          </w:p>
        </w:tc>
        <w:tc>
          <w:tcPr>
            <w:tcW w:w="1254" w:type="dxa"/>
            <w:tcBorders>
              <w:top w:val="single" w:sz="6" w:space="0" w:color="000000"/>
              <w:left w:val="single" w:sz="6" w:space="0" w:color="000000"/>
              <w:bottom w:val="single" w:sz="12" w:space="0" w:color="000000"/>
              <w:right w:val="single" w:sz="6" w:space="0" w:color="000000"/>
            </w:tcBorders>
            <w:noWrap/>
            <w:vAlign w:val="center"/>
          </w:tcPr>
          <w:p>
            <w:pPr>
              <w:spacing w:line="340" w:lineRule="exact"/>
              <w:jc w:val="center"/>
              <w:rPr>
                <w:rFonts w:ascii="宋体" w:cs="宋体"/>
                <w:color w:val="000000"/>
                <w:sz w:val="24"/>
              </w:rPr>
            </w:pPr>
            <w:r>
              <w:rPr>
                <w:rFonts w:ascii="宋体" w:cs="宋体" w:hint="eastAsia"/>
                <w:color w:val="000000"/>
                <w:sz w:val="24"/>
              </w:rPr>
              <w:t>货物或服务名称</w:t>
            </w:r>
          </w:p>
        </w:tc>
        <w:tc>
          <w:tcPr>
            <w:tcW w:w="1095" w:type="dxa"/>
            <w:tcBorders>
              <w:top w:val="single" w:sz="6" w:space="0" w:color="000000"/>
              <w:left w:val="single" w:sz="6" w:space="0" w:color="000000"/>
              <w:bottom w:val="single" w:sz="12" w:space="0" w:color="000000"/>
              <w:right w:val="single" w:sz="6" w:space="0" w:color="000000"/>
            </w:tcBorders>
            <w:noWrap/>
            <w:vAlign w:val="center"/>
          </w:tcPr>
          <w:p>
            <w:pPr>
              <w:spacing w:line="340" w:lineRule="exact"/>
              <w:jc w:val="center"/>
              <w:rPr>
                <w:rFonts w:ascii="宋体" w:cs="宋体"/>
                <w:color w:val="000000"/>
                <w:sz w:val="24"/>
              </w:rPr>
            </w:pPr>
            <w:r>
              <w:rPr>
                <w:rFonts w:ascii="宋体" w:cs="宋体" w:hint="eastAsia"/>
                <w:color w:val="000000"/>
                <w:sz w:val="24"/>
              </w:rPr>
              <w:t>磋商文件要求的商务条款</w:t>
            </w:r>
          </w:p>
        </w:tc>
        <w:tc>
          <w:tcPr>
            <w:tcW w:w="1413" w:type="dxa"/>
            <w:tcBorders>
              <w:top w:val="single" w:sz="6" w:space="0" w:color="000000"/>
              <w:left w:val="single" w:sz="6" w:space="0" w:color="000000"/>
              <w:bottom w:val="single" w:sz="12" w:space="0" w:color="000000"/>
              <w:right w:val="single" w:sz="6" w:space="0" w:color="000000"/>
            </w:tcBorders>
            <w:noWrap/>
            <w:vAlign w:val="center"/>
          </w:tcPr>
          <w:p>
            <w:pPr>
              <w:spacing w:line="340" w:lineRule="exact"/>
              <w:jc w:val="center"/>
              <w:rPr>
                <w:rFonts w:ascii="宋体" w:cs="宋体"/>
                <w:color w:val="000000"/>
                <w:sz w:val="24"/>
              </w:rPr>
            </w:pPr>
            <w:r>
              <w:rPr>
                <w:rFonts w:ascii="宋体" w:cs="宋体" w:hint="eastAsia"/>
                <w:color w:val="000000"/>
                <w:sz w:val="24"/>
              </w:rPr>
              <w:t>响应文件响应情况</w:t>
            </w:r>
          </w:p>
        </w:tc>
        <w:tc>
          <w:tcPr>
            <w:tcW w:w="778" w:type="dxa"/>
            <w:tcBorders>
              <w:top w:val="single" w:sz="6" w:space="0" w:color="000000"/>
              <w:left w:val="single" w:sz="6" w:space="0" w:color="000000"/>
              <w:bottom w:val="single" w:sz="12" w:space="0" w:color="000000"/>
              <w:right w:val="single" w:sz="6" w:space="0" w:color="000000"/>
            </w:tcBorders>
            <w:noWrap/>
          </w:tcPr>
          <w:p>
            <w:pPr>
              <w:spacing w:line="340" w:lineRule="exact"/>
              <w:jc w:val="center"/>
              <w:rPr>
                <w:rFonts w:ascii="宋体" w:cs="宋体"/>
                <w:color w:val="000000"/>
                <w:sz w:val="24"/>
              </w:rPr>
            </w:pPr>
          </w:p>
          <w:p>
            <w:pPr>
              <w:spacing w:line="340" w:lineRule="exact"/>
              <w:jc w:val="center"/>
              <w:rPr>
                <w:rFonts w:ascii="宋体" w:cs="宋体"/>
                <w:color w:val="000000"/>
                <w:sz w:val="24"/>
              </w:rPr>
            </w:pPr>
            <w:r>
              <w:rPr>
                <w:rFonts w:ascii="宋体" w:cs="宋体" w:hint="eastAsia"/>
                <w:color w:val="000000"/>
                <w:sz w:val="24"/>
              </w:rPr>
              <w:t>偏离说明</w:t>
            </w:r>
          </w:p>
        </w:tc>
      </w:tr>
      <w:tr>
        <w:trPr>
          <w:trHeight w:val="414"/>
        </w:trPr>
        <w:tc>
          <w:tcPr>
            <w:tcW w:w="460" w:type="dxa"/>
            <w:tcBorders>
              <w:top w:val="single" w:sz="6" w:space="0" w:color="000000"/>
              <w:left w:val="single" w:sz="6" w:space="0" w:color="000000"/>
              <w:bottom w:val="single" w:sz="12" w:space="0" w:color="000000"/>
              <w:right w:val="single" w:sz="6" w:space="0" w:color="000000"/>
            </w:tcBorders>
            <w:noWrap/>
          </w:tcPr>
          <w:p>
            <w:pPr>
              <w:spacing w:line="340" w:lineRule="exact"/>
              <w:jc w:val="center"/>
              <w:rPr>
                <w:rFonts w:ascii="宋体" w:cs="宋体"/>
                <w:color w:val="000000"/>
                <w:sz w:val="24"/>
              </w:rPr>
            </w:pPr>
            <w:r>
              <w:rPr>
                <w:rFonts w:ascii="宋体" w:cs="宋体" w:hint="eastAsia"/>
                <w:color w:val="000000"/>
                <w:sz w:val="24"/>
              </w:rPr>
              <w:t>1</w:t>
            </w:r>
          </w:p>
        </w:tc>
        <w:tc>
          <w:tcPr>
            <w:tcW w:w="1254" w:type="dxa"/>
            <w:tcBorders>
              <w:top w:val="single" w:sz="6" w:space="0" w:color="000000"/>
              <w:left w:val="single" w:sz="6" w:space="0" w:color="000000"/>
              <w:bottom w:val="single" w:sz="12" w:space="0" w:color="000000"/>
              <w:right w:val="single" w:sz="6" w:space="0" w:color="000000"/>
            </w:tcBorders>
            <w:noWrap/>
            <w:vAlign w:val="center"/>
          </w:tcPr>
          <w:p>
            <w:pPr>
              <w:spacing w:line="340" w:lineRule="exact"/>
              <w:jc w:val="left"/>
              <w:rPr>
                <w:rFonts w:ascii="宋体" w:cs="宋体"/>
                <w:color w:val="000000"/>
                <w:sz w:val="24"/>
              </w:rPr>
            </w:pPr>
          </w:p>
        </w:tc>
        <w:tc>
          <w:tcPr>
            <w:tcW w:w="1095" w:type="dxa"/>
            <w:tcBorders>
              <w:top w:val="single" w:sz="6" w:space="0" w:color="000000"/>
              <w:left w:val="single" w:sz="6" w:space="0" w:color="000000"/>
              <w:bottom w:val="single" w:sz="12" w:space="0" w:color="000000"/>
              <w:right w:val="single" w:sz="6" w:space="0" w:color="000000"/>
            </w:tcBorders>
            <w:noWrap/>
            <w:vAlign w:val="center"/>
          </w:tcPr>
          <w:p>
            <w:pPr>
              <w:spacing w:line="340" w:lineRule="exact"/>
              <w:jc w:val="left"/>
              <w:rPr>
                <w:rFonts w:ascii="宋体" w:cs="宋体"/>
                <w:color w:val="000000"/>
                <w:sz w:val="24"/>
              </w:rPr>
            </w:pPr>
          </w:p>
        </w:tc>
        <w:tc>
          <w:tcPr>
            <w:tcW w:w="1413" w:type="dxa"/>
            <w:tcBorders>
              <w:top w:val="single" w:sz="6" w:space="0" w:color="000000"/>
              <w:left w:val="single" w:sz="6" w:space="0" w:color="000000"/>
              <w:bottom w:val="single" w:sz="12" w:space="0" w:color="000000"/>
              <w:right w:val="single" w:sz="6" w:space="0" w:color="000000"/>
            </w:tcBorders>
            <w:noWrap/>
            <w:vAlign w:val="center"/>
          </w:tcPr>
          <w:p>
            <w:pPr>
              <w:spacing w:line="340" w:lineRule="exact"/>
              <w:jc w:val="left"/>
              <w:rPr>
                <w:rFonts w:ascii="宋体" w:cs="宋体"/>
                <w:color w:val="000000"/>
                <w:sz w:val="24"/>
              </w:rPr>
            </w:pPr>
          </w:p>
        </w:tc>
        <w:tc>
          <w:tcPr>
            <w:tcW w:w="778" w:type="dxa"/>
            <w:tcBorders>
              <w:top w:val="single" w:sz="6" w:space="0" w:color="000000"/>
              <w:left w:val="single" w:sz="6" w:space="0" w:color="000000"/>
              <w:bottom w:val="single" w:sz="12" w:space="0" w:color="000000"/>
              <w:right w:val="single" w:sz="6" w:space="0" w:color="000000"/>
            </w:tcBorders>
            <w:noWrap/>
          </w:tcPr>
          <w:p>
            <w:pPr>
              <w:spacing w:line="340" w:lineRule="exact"/>
              <w:jc w:val="left"/>
              <w:rPr>
                <w:rFonts w:ascii="宋体" w:cs="宋体"/>
                <w:color w:val="000000"/>
                <w:sz w:val="24"/>
              </w:rPr>
            </w:pPr>
          </w:p>
        </w:tc>
      </w:tr>
      <w:tr>
        <w:trPr>
          <w:trHeight w:val="548"/>
        </w:trPr>
        <w:tc>
          <w:tcPr>
            <w:tcW w:w="460" w:type="dxa"/>
            <w:tcBorders>
              <w:top w:val="single" w:sz="6" w:space="0" w:color="000000"/>
              <w:left w:val="single" w:sz="6" w:space="0" w:color="000000"/>
              <w:bottom w:val="single" w:sz="12" w:space="0" w:color="000000"/>
              <w:right w:val="single" w:sz="6" w:space="0" w:color="000000"/>
            </w:tcBorders>
            <w:noWrap/>
          </w:tcPr>
          <w:p>
            <w:pPr>
              <w:spacing w:line="340" w:lineRule="exact"/>
              <w:jc w:val="center"/>
              <w:rPr>
                <w:rFonts w:ascii="宋体" w:cs="宋体"/>
                <w:color w:val="000000"/>
                <w:sz w:val="24"/>
              </w:rPr>
            </w:pPr>
            <w:r>
              <w:rPr>
                <w:rFonts w:ascii="宋体" w:cs="宋体" w:hint="eastAsia"/>
                <w:color w:val="000000"/>
                <w:sz w:val="24"/>
              </w:rPr>
              <w:t>2</w:t>
            </w:r>
          </w:p>
        </w:tc>
        <w:tc>
          <w:tcPr>
            <w:tcW w:w="1254" w:type="dxa"/>
            <w:tcBorders>
              <w:top w:val="single" w:sz="6" w:space="0" w:color="000000"/>
              <w:left w:val="single" w:sz="6" w:space="0" w:color="000000"/>
              <w:bottom w:val="single" w:sz="12" w:space="0" w:color="000000"/>
              <w:right w:val="single" w:sz="6" w:space="0" w:color="000000"/>
            </w:tcBorders>
            <w:noWrap/>
            <w:vAlign w:val="center"/>
          </w:tcPr>
          <w:p>
            <w:pPr>
              <w:spacing w:line="340" w:lineRule="exact"/>
              <w:jc w:val="left"/>
              <w:rPr>
                <w:rFonts w:ascii="宋体" w:cs="宋体"/>
                <w:color w:val="000000"/>
                <w:sz w:val="24"/>
              </w:rPr>
            </w:pPr>
          </w:p>
        </w:tc>
        <w:tc>
          <w:tcPr>
            <w:tcW w:w="1095" w:type="dxa"/>
            <w:tcBorders>
              <w:top w:val="single" w:sz="6" w:space="0" w:color="000000"/>
              <w:left w:val="single" w:sz="6" w:space="0" w:color="000000"/>
              <w:bottom w:val="single" w:sz="12" w:space="0" w:color="000000"/>
              <w:right w:val="single" w:sz="6" w:space="0" w:color="000000"/>
            </w:tcBorders>
            <w:noWrap/>
            <w:vAlign w:val="center"/>
          </w:tcPr>
          <w:p>
            <w:pPr>
              <w:spacing w:line="340" w:lineRule="exact"/>
              <w:jc w:val="left"/>
              <w:rPr>
                <w:rFonts w:ascii="宋体" w:cs="宋体"/>
                <w:color w:val="000000"/>
                <w:sz w:val="24"/>
              </w:rPr>
            </w:pPr>
          </w:p>
        </w:tc>
        <w:tc>
          <w:tcPr>
            <w:tcW w:w="1413" w:type="dxa"/>
            <w:tcBorders>
              <w:top w:val="single" w:sz="6" w:space="0" w:color="000000"/>
              <w:left w:val="single" w:sz="6" w:space="0" w:color="000000"/>
              <w:bottom w:val="single" w:sz="12" w:space="0" w:color="000000"/>
              <w:right w:val="single" w:sz="6" w:space="0" w:color="000000"/>
            </w:tcBorders>
            <w:noWrap/>
            <w:vAlign w:val="center"/>
          </w:tcPr>
          <w:p>
            <w:pPr>
              <w:spacing w:line="340" w:lineRule="exact"/>
              <w:jc w:val="left"/>
              <w:rPr>
                <w:rFonts w:ascii="宋体" w:cs="宋体"/>
                <w:color w:val="000000"/>
                <w:sz w:val="24"/>
              </w:rPr>
            </w:pPr>
          </w:p>
        </w:tc>
        <w:tc>
          <w:tcPr>
            <w:tcW w:w="778" w:type="dxa"/>
            <w:tcBorders>
              <w:top w:val="single" w:sz="6" w:space="0" w:color="000000"/>
              <w:left w:val="single" w:sz="6" w:space="0" w:color="000000"/>
              <w:bottom w:val="single" w:sz="12" w:space="0" w:color="000000"/>
              <w:right w:val="single" w:sz="6" w:space="0" w:color="000000"/>
            </w:tcBorders>
            <w:noWrap/>
          </w:tcPr>
          <w:p>
            <w:pPr>
              <w:spacing w:line="340" w:lineRule="exact"/>
              <w:jc w:val="left"/>
              <w:rPr>
                <w:rFonts w:ascii="宋体" w:cs="宋体"/>
                <w:color w:val="000000"/>
                <w:sz w:val="24"/>
              </w:rPr>
            </w:pPr>
          </w:p>
        </w:tc>
      </w:tr>
      <w:tr>
        <w:trPr>
          <w:trHeight w:val="400"/>
        </w:trPr>
        <w:tc>
          <w:tcPr>
            <w:tcW w:w="460" w:type="dxa"/>
            <w:tcBorders>
              <w:top w:val="single" w:sz="6" w:space="0" w:color="000000"/>
              <w:left w:val="single" w:sz="6" w:space="0" w:color="000000"/>
              <w:bottom w:val="single" w:sz="12" w:space="0" w:color="000000"/>
              <w:right w:val="single" w:sz="6" w:space="0" w:color="000000"/>
            </w:tcBorders>
            <w:noWrap/>
          </w:tcPr>
          <w:p>
            <w:pPr>
              <w:spacing w:line="340" w:lineRule="exact"/>
              <w:jc w:val="center"/>
              <w:rPr>
                <w:rFonts w:ascii="宋体" w:cs="宋体"/>
                <w:color w:val="000000"/>
                <w:sz w:val="24"/>
              </w:rPr>
            </w:pPr>
            <w:r>
              <w:rPr>
                <w:rFonts w:ascii="宋体" w:cs="宋体" w:hint="eastAsia"/>
                <w:color w:val="000000"/>
                <w:sz w:val="24"/>
              </w:rPr>
              <w:t>3</w:t>
            </w:r>
          </w:p>
        </w:tc>
        <w:tc>
          <w:tcPr>
            <w:tcW w:w="1254" w:type="dxa"/>
            <w:tcBorders>
              <w:top w:val="single" w:sz="6" w:space="0" w:color="000000"/>
              <w:left w:val="single" w:sz="6" w:space="0" w:color="000000"/>
              <w:bottom w:val="single" w:sz="12" w:space="0" w:color="000000"/>
              <w:right w:val="single" w:sz="6" w:space="0" w:color="000000"/>
            </w:tcBorders>
            <w:noWrap/>
            <w:vAlign w:val="center"/>
          </w:tcPr>
          <w:p>
            <w:pPr>
              <w:spacing w:line="340" w:lineRule="exact"/>
              <w:jc w:val="left"/>
              <w:rPr>
                <w:rFonts w:ascii="宋体" w:cs="宋体"/>
                <w:color w:val="000000"/>
                <w:sz w:val="24"/>
              </w:rPr>
            </w:pPr>
          </w:p>
        </w:tc>
        <w:tc>
          <w:tcPr>
            <w:tcW w:w="1095" w:type="dxa"/>
            <w:tcBorders>
              <w:top w:val="single" w:sz="6" w:space="0" w:color="000000"/>
              <w:left w:val="single" w:sz="6" w:space="0" w:color="000000"/>
              <w:bottom w:val="single" w:sz="12" w:space="0" w:color="000000"/>
              <w:right w:val="single" w:sz="6" w:space="0" w:color="000000"/>
            </w:tcBorders>
            <w:noWrap/>
            <w:vAlign w:val="center"/>
          </w:tcPr>
          <w:p>
            <w:pPr>
              <w:spacing w:line="340" w:lineRule="exact"/>
              <w:jc w:val="left"/>
              <w:rPr>
                <w:rFonts w:ascii="宋体" w:cs="宋体"/>
                <w:color w:val="000000"/>
                <w:sz w:val="24"/>
              </w:rPr>
            </w:pPr>
          </w:p>
        </w:tc>
        <w:tc>
          <w:tcPr>
            <w:tcW w:w="1413" w:type="dxa"/>
            <w:tcBorders>
              <w:top w:val="single" w:sz="6" w:space="0" w:color="000000"/>
              <w:left w:val="single" w:sz="6" w:space="0" w:color="000000"/>
              <w:bottom w:val="single" w:sz="12" w:space="0" w:color="000000"/>
              <w:right w:val="single" w:sz="6" w:space="0" w:color="000000"/>
            </w:tcBorders>
            <w:noWrap/>
            <w:vAlign w:val="center"/>
          </w:tcPr>
          <w:p>
            <w:pPr>
              <w:spacing w:line="340" w:lineRule="exact"/>
              <w:jc w:val="left"/>
              <w:rPr>
                <w:rFonts w:ascii="宋体" w:cs="宋体"/>
                <w:color w:val="000000"/>
                <w:sz w:val="24"/>
              </w:rPr>
            </w:pPr>
          </w:p>
        </w:tc>
        <w:tc>
          <w:tcPr>
            <w:tcW w:w="778" w:type="dxa"/>
            <w:tcBorders>
              <w:top w:val="single" w:sz="6" w:space="0" w:color="000000"/>
              <w:left w:val="single" w:sz="6" w:space="0" w:color="000000"/>
              <w:bottom w:val="single" w:sz="12" w:space="0" w:color="000000"/>
              <w:right w:val="single" w:sz="6" w:space="0" w:color="000000"/>
            </w:tcBorders>
            <w:noWrap/>
          </w:tcPr>
          <w:p>
            <w:pPr>
              <w:spacing w:line="340" w:lineRule="exact"/>
              <w:jc w:val="left"/>
              <w:rPr>
                <w:rFonts w:ascii="宋体" w:cs="宋体"/>
                <w:color w:val="000000"/>
                <w:sz w:val="24"/>
              </w:rPr>
            </w:pPr>
          </w:p>
        </w:tc>
      </w:tr>
      <w:tr>
        <w:trPr>
          <w:trHeight w:val="419"/>
        </w:trPr>
        <w:tc>
          <w:tcPr>
            <w:tcW w:w="460" w:type="dxa"/>
            <w:tcBorders>
              <w:top w:val="single" w:sz="6" w:space="0" w:color="000000"/>
              <w:left w:val="single" w:sz="6" w:space="0" w:color="000000"/>
              <w:bottom w:val="single" w:sz="12" w:space="0" w:color="000000"/>
              <w:right w:val="single" w:sz="6" w:space="0" w:color="000000"/>
            </w:tcBorders>
            <w:noWrap/>
          </w:tcPr>
          <w:p>
            <w:pPr>
              <w:spacing w:line="340" w:lineRule="exact"/>
              <w:jc w:val="center"/>
              <w:rPr>
                <w:rFonts w:ascii="宋体" w:cs="宋体"/>
                <w:color w:val="000000"/>
                <w:sz w:val="24"/>
              </w:rPr>
            </w:pPr>
            <w:r>
              <w:rPr>
                <w:rFonts w:ascii="宋体" w:cs="宋体" w:hint="eastAsia"/>
                <w:color w:val="000000"/>
                <w:sz w:val="24"/>
              </w:rPr>
              <w:t>4</w:t>
            </w:r>
          </w:p>
        </w:tc>
        <w:tc>
          <w:tcPr>
            <w:tcW w:w="1254" w:type="dxa"/>
            <w:tcBorders>
              <w:top w:val="single" w:sz="6" w:space="0" w:color="000000"/>
              <w:left w:val="single" w:sz="6" w:space="0" w:color="000000"/>
              <w:bottom w:val="single" w:sz="12" w:space="0" w:color="000000"/>
              <w:right w:val="single" w:sz="6" w:space="0" w:color="000000"/>
            </w:tcBorders>
            <w:noWrap/>
            <w:vAlign w:val="center"/>
          </w:tcPr>
          <w:p>
            <w:pPr>
              <w:spacing w:line="340" w:lineRule="exact"/>
              <w:jc w:val="left"/>
              <w:rPr>
                <w:rFonts w:ascii="宋体" w:cs="宋体"/>
                <w:color w:val="000000"/>
                <w:sz w:val="24"/>
              </w:rPr>
            </w:pPr>
          </w:p>
        </w:tc>
        <w:tc>
          <w:tcPr>
            <w:tcW w:w="1095" w:type="dxa"/>
            <w:tcBorders>
              <w:top w:val="single" w:sz="6" w:space="0" w:color="000000"/>
              <w:left w:val="single" w:sz="6" w:space="0" w:color="000000"/>
              <w:bottom w:val="single" w:sz="12" w:space="0" w:color="000000"/>
              <w:right w:val="single" w:sz="6" w:space="0" w:color="000000"/>
            </w:tcBorders>
            <w:noWrap/>
            <w:vAlign w:val="center"/>
          </w:tcPr>
          <w:p>
            <w:pPr>
              <w:spacing w:line="340" w:lineRule="exact"/>
              <w:jc w:val="left"/>
              <w:rPr>
                <w:rFonts w:ascii="宋体" w:cs="宋体"/>
                <w:color w:val="000000"/>
                <w:sz w:val="24"/>
              </w:rPr>
            </w:pPr>
          </w:p>
        </w:tc>
        <w:tc>
          <w:tcPr>
            <w:tcW w:w="1413" w:type="dxa"/>
            <w:tcBorders>
              <w:top w:val="single" w:sz="6" w:space="0" w:color="000000"/>
              <w:left w:val="single" w:sz="6" w:space="0" w:color="000000"/>
              <w:bottom w:val="single" w:sz="12" w:space="0" w:color="000000"/>
              <w:right w:val="single" w:sz="6" w:space="0" w:color="000000"/>
            </w:tcBorders>
            <w:noWrap/>
            <w:vAlign w:val="center"/>
          </w:tcPr>
          <w:p>
            <w:pPr>
              <w:spacing w:line="340" w:lineRule="exact"/>
              <w:jc w:val="left"/>
              <w:rPr>
                <w:rFonts w:ascii="宋体" w:cs="宋体"/>
                <w:color w:val="000000"/>
                <w:sz w:val="24"/>
              </w:rPr>
            </w:pPr>
          </w:p>
        </w:tc>
        <w:tc>
          <w:tcPr>
            <w:tcW w:w="778" w:type="dxa"/>
            <w:tcBorders>
              <w:top w:val="single" w:sz="6" w:space="0" w:color="000000"/>
              <w:left w:val="single" w:sz="6" w:space="0" w:color="000000"/>
              <w:bottom w:val="single" w:sz="12" w:space="0" w:color="000000"/>
              <w:right w:val="single" w:sz="6" w:space="0" w:color="000000"/>
            </w:tcBorders>
            <w:noWrap/>
          </w:tcPr>
          <w:p>
            <w:pPr>
              <w:spacing w:line="340" w:lineRule="exact"/>
              <w:jc w:val="left"/>
              <w:rPr>
                <w:rFonts w:ascii="宋体" w:cs="宋体"/>
                <w:color w:val="000000"/>
                <w:sz w:val="24"/>
              </w:rPr>
            </w:pPr>
          </w:p>
        </w:tc>
      </w:tr>
    </w:tbl>
    <w:p>
      <w:pPr>
        <w:spacing w:line="300" w:lineRule="auto"/>
        <w:contextualSpacing/>
        <w:rPr>
          <w:rFonts w:ascii="宋体" w:cs="宋体"/>
          <w:b/>
          <w:color w:val="000000"/>
          <w:sz w:val="24"/>
        </w:rPr>
      </w:pPr>
      <w:r>
        <w:rPr>
          <w:rFonts w:ascii="宋体" w:cs="宋体" w:hint="eastAsia"/>
          <w:b/>
          <w:color w:val="000000"/>
          <w:sz w:val="24"/>
        </w:rPr>
        <w:t>注：</w:t>
      </w:r>
    </w:p>
    <w:p>
      <w:pPr>
        <w:spacing w:line="300" w:lineRule="auto"/>
        <w:ind w:firstLine="480"/>
        <w:contextualSpacing/>
        <w:rPr>
          <w:rFonts w:ascii="宋体" w:cs="宋体"/>
          <w:color w:val="000000"/>
          <w:sz w:val="24"/>
        </w:rPr>
      </w:pPr>
      <w:r>
        <w:rPr>
          <w:rFonts w:ascii="宋体" w:cs="宋体" w:hint="eastAsia"/>
          <w:color w:val="000000"/>
          <w:sz w:val="24"/>
        </w:rPr>
        <w:t>1.供应商提交的响应文件中与磋商文件第三部分“项目需求”中的商务部分的要求，应逐条填列在偏离表中。</w:t>
      </w:r>
      <w:r>
        <w:rPr>
          <w:rFonts w:ascii="宋体" w:cs="宋体" w:hint="eastAsia"/>
          <w:b/>
          <w:bCs/>
          <w:color w:val="000000"/>
          <w:sz w:val="24"/>
        </w:rPr>
        <w:t>完全响应以空白表格列式</w:t>
      </w:r>
      <w:r>
        <w:rPr>
          <w:rFonts w:ascii="宋体" w:cs="宋体" w:hint="eastAsia"/>
          <w:color w:val="000000"/>
          <w:sz w:val="24"/>
        </w:rPr>
        <w:t>。</w:t>
      </w:r>
    </w:p>
    <w:p>
      <w:pPr>
        <w:spacing w:line="300" w:lineRule="auto"/>
        <w:ind w:firstLine="480"/>
        <w:contextualSpacing/>
        <w:rPr>
          <w:rFonts w:ascii="宋体" w:cs="宋体"/>
          <w:color w:val="000000"/>
          <w:sz w:val="24"/>
        </w:rPr>
      </w:pPr>
      <w:r>
        <w:rPr>
          <w:rFonts w:ascii="宋体" w:cs="宋体" w:hint="eastAsia"/>
          <w:color w:val="000000"/>
          <w:sz w:val="24"/>
        </w:rPr>
        <w:t>2.“偏离说明”一栏选择“正偏离”、“无偏离”、“负偏离”进行填写。正偏离、无偏离的确认和负偏离的是否响应磋商文件，由磋商小组认定。</w:t>
      </w:r>
    </w:p>
    <w:p>
      <w:pPr>
        <w:spacing w:line="300" w:lineRule="auto"/>
        <w:ind w:firstLine="480"/>
        <w:contextualSpacing/>
        <w:rPr>
          <w:rFonts w:ascii="宋体" w:cs="宋体"/>
          <w:color w:val="000000"/>
          <w:sz w:val="24"/>
        </w:rPr>
      </w:pPr>
      <w:r>
        <w:rPr>
          <w:rFonts w:ascii="宋体" w:cs="宋体" w:hint="eastAsia"/>
          <w:color w:val="000000"/>
          <w:sz w:val="24"/>
        </w:rPr>
        <w:t>3.供应商如果虚假响应，将被暂停参加采购人组织政府采购活动。</w:t>
      </w:r>
    </w:p>
    <w:p>
      <w:pPr>
        <w:spacing w:line="300" w:lineRule="auto"/>
        <w:ind w:firstLine="480"/>
        <w:contextualSpacing/>
        <w:rPr>
          <w:rFonts w:ascii="宋体" w:cs="宋体"/>
          <w:color w:val="000000"/>
          <w:sz w:val="24"/>
        </w:rPr>
      </w:pPr>
      <w:r>
        <w:rPr>
          <w:rFonts w:ascii="宋体" w:cs="宋体" w:hint="eastAsia"/>
          <w:color w:val="000000"/>
          <w:sz w:val="24"/>
        </w:rPr>
        <w:t>4.供应商若提供其他增值服务，可以在表中自行据实填写。</w:t>
      </w:r>
    </w:p>
    <w:p>
      <w:pPr>
        <w:spacing w:line="300" w:lineRule="auto"/>
        <w:ind w:firstLine="480"/>
        <w:contextualSpacing/>
        <w:rPr>
          <w:rFonts w:ascii="宋体" w:cs="宋体"/>
          <w:b/>
          <w:bCs/>
          <w:color w:val="000000"/>
          <w:sz w:val="24"/>
        </w:rPr>
      </w:pPr>
      <w:r>
        <w:rPr>
          <w:rFonts w:ascii="宋体" w:cs="宋体" w:hint="eastAsia"/>
          <w:b/>
          <w:bCs/>
          <w:color w:val="000000"/>
          <w:sz w:val="24"/>
        </w:rPr>
        <w:t>5.本项目商务条款不接受负偏离，有负偏离的按无效标处理。</w:t>
      </w:r>
    </w:p>
    <w:p>
      <w:pPr>
        <w:spacing w:line="400" w:lineRule="exact"/>
        <w:contextualSpacing/>
        <w:rPr>
          <w:rFonts w:ascii="宋体" w:cs="宋体"/>
          <w:color w:val="000000"/>
          <w:sz w:val="32"/>
          <w:szCs w:val="32"/>
        </w:rPr>
      </w:pPr>
      <w:r>
        <w:rPr>
          <w:rFonts w:ascii="宋体" w:cs="宋体" w:hint="eastAsia"/>
          <w:color w:val="000000"/>
          <w:sz w:val="32"/>
          <w:szCs w:val="32"/>
        </w:rPr>
        <w:br w:type="page"/>
        <w:t>附件5</w:t>
      </w:r>
    </w:p>
    <w:p>
      <w:pPr>
        <w:spacing w:line="300" w:lineRule="auto"/>
        <w:contextualSpacing/>
        <w:jc w:val="center"/>
        <w:rPr>
          <w:rFonts w:ascii="宋体" w:cs="宋体"/>
          <w:b/>
          <w:color w:val="000000"/>
          <w:sz w:val="32"/>
          <w:szCs w:val="32"/>
        </w:rPr>
      </w:pPr>
      <w:r>
        <w:rPr>
          <w:rFonts w:ascii="宋体" w:cs="宋体" w:hint="eastAsia"/>
          <w:b/>
          <w:color w:val="000000"/>
          <w:sz w:val="32"/>
          <w:szCs w:val="32"/>
        </w:rPr>
        <w:t>技术部分正负偏离表</w:t>
      </w:r>
    </w:p>
    <w:p>
      <w:pPr>
        <w:ind w:firstLine="560"/>
        <w:jc w:val="center"/>
        <w:rPr>
          <w:rFonts w:ascii="宋体" w:cs="宋体"/>
          <w:color w:val="000000"/>
          <w:sz w:val="28"/>
          <w:szCs w:val="28"/>
        </w:rPr>
      </w:pPr>
      <w:r>
        <w:rPr>
          <w:rFonts w:ascii="宋体" w:cs="宋体" w:hint="eastAsia"/>
          <w:color w:val="000000"/>
          <w:sz w:val="28"/>
          <w:szCs w:val="28"/>
        </w:rPr>
        <w:t>（由供应商据实填写，表格不够自行添加）</w:t>
      </w:r>
    </w:p>
    <w:tbl>
      <w:tblPr>
        <w:jc w:val="left"/>
        <w:tblInd w:w="-108" w:type="dxa"/>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Grid>
        <w:gridCol w:w="783"/>
        <w:gridCol w:w="2138"/>
        <w:gridCol w:w="1867"/>
        <w:gridCol w:w="2409"/>
        <w:gridCol w:w="1326"/>
      </w:tblGrid>
      <w:tr>
        <w:trPr>
          <w:trHeight w:val="994"/>
        </w:trPr>
        <w:tc>
          <w:tcPr>
            <w:tcW w:w="460" w:type="dxa"/>
            <w:tcBorders>
              <w:top w:val="single" w:sz="6" w:space="0" w:color="000000"/>
              <w:left w:val="single" w:sz="6" w:space="0" w:color="000000"/>
              <w:bottom w:val="single" w:sz="12" w:space="0" w:color="000000"/>
              <w:right w:val="single" w:sz="6" w:space="0" w:color="000000"/>
            </w:tcBorders>
            <w:noWrap/>
            <w:vAlign w:val="center"/>
          </w:tcPr>
          <w:p>
            <w:pPr>
              <w:spacing w:line="340" w:lineRule="exact"/>
              <w:jc w:val="center"/>
              <w:rPr>
                <w:rFonts w:ascii="宋体" w:cs="宋体"/>
                <w:color w:val="000000"/>
                <w:sz w:val="24"/>
              </w:rPr>
            </w:pPr>
            <w:r>
              <w:rPr>
                <w:rFonts w:ascii="宋体" w:cs="宋体" w:hint="eastAsia"/>
                <w:color w:val="000000"/>
                <w:sz w:val="24"/>
              </w:rPr>
              <w:t>序号</w:t>
            </w:r>
          </w:p>
        </w:tc>
        <w:tc>
          <w:tcPr>
            <w:tcW w:w="1254" w:type="dxa"/>
            <w:tcBorders>
              <w:top w:val="single" w:sz="6" w:space="0" w:color="000000"/>
              <w:left w:val="single" w:sz="6" w:space="0" w:color="000000"/>
              <w:bottom w:val="single" w:sz="12" w:space="0" w:color="000000"/>
              <w:right w:val="single" w:sz="6" w:space="0" w:color="000000"/>
            </w:tcBorders>
            <w:noWrap/>
            <w:vAlign w:val="center"/>
          </w:tcPr>
          <w:p>
            <w:pPr>
              <w:spacing w:line="340" w:lineRule="exact"/>
              <w:jc w:val="center"/>
              <w:rPr>
                <w:rFonts w:ascii="宋体" w:cs="宋体"/>
                <w:color w:val="000000"/>
                <w:sz w:val="24"/>
              </w:rPr>
            </w:pPr>
            <w:r>
              <w:rPr>
                <w:rFonts w:ascii="宋体" w:cs="宋体" w:hint="eastAsia"/>
                <w:color w:val="000000"/>
                <w:sz w:val="24"/>
              </w:rPr>
              <w:t>货物或服务名称</w:t>
            </w:r>
          </w:p>
        </w:tc>
        <w:tc>
          <w:tcPr>
            <w:tcW w:w="1095" w:type="dxa"/>
            <w:tcBorders>
              <w:top w:val="single" w:sz="6" w:space="0" w:color="000000"/>
              <w:left w:val="single" w:sz="6" w:space="0" w:color="000000"/>
              <w:bottom w:val="single" w:sz="12" w:space="0" w:color="000000"/>
              <w:right w:val="single" w:sz="6" w:space="0" w:color="000000"/>
            </w:tcBorders>
            <w:noWrap/>
            <w:vAlign w:val="center"/>
          </w:tcPr>
          <w:p>
            <w:pPr>
              <w:spacing w:line="340" w:lineRule="exact"/>
              <w:jc w:val="center"/>
              <w:rPr>
                <w:rFonts w:ascii="宋体" w:cs="宋体"/>
                <w:color w:val="000000"/>
                <w:sz w:val="24"/>
              </w:rPr>
            </w:pPr>
            <w:r>
              <w:rPr>
                <w:rFonts w:ascii="宋体" w:cs="宋体" w:hint="eastAsia"/>
                <w:color w:val="000000"/>
                <w:sz w:val="24"/>
              </w:rPr>
              <w:t>磋商文件要求的技术要求</w:t>
            </w:r>
          </w:p>
        </w:tc>
        <w:tc>
          <w:tcPr>
            <w:tcW w:w="1413" w:type="dxa"/>
            <w:tcBorders>
              <w:top w:val="single" w:sz="6" w:space="0" w:color="000000"/>
              <w:left w:val="single" w:sz="6" w:space="0" w:color="000000"/>
              <w:bottom w:val="single" w:sz="12" w:space="0" w:color="000000"/>
              <w:right w:val="single" w:sz="6" w:space="0" w:color="000000"/>
            </w:tcBorders>
            <w:noWrap/>
            <w:vAlign w:val="center"/>
          </w:tcPr>
          <w:p>
            <w:pPr>
              <w:spacing w:line="340" w:lineRule="exact"/>
              <w:jc w:val="center"/>
              <w:rPr>
                <w:rFonts w:ascii="宋体" w:cs="宋体"/>
                <w:color w:val="000000"/>
                <w:sz w:val="24"/>
              </w:rPr>
            </w:pPr>
            <w:r>
              <w:rPr>
                <w:rFonts w:ascii="宋体" w:cs="宋体" w:hint="eastAsia"/>
                <w:color w:val="000000"/>
                <w:sz w:val="24"/>
              </w:rPr>
              <w:t>响应文件响应情况</w:t>
            </w:r>
          </w:p>
        </w:tc>
        <w:tc>
          <w:tcPr>
            <w:tcW w:w="778" w:type="dxa"/>
            <w:tcBorders>
              <w:top w:val="single" w:sz="6" w:space="0" w:color="000000"/>
              <w:left w:val="single" w:sz="6" w:space="0" w:color="000000"/>
              <w:bottom w:val="single" w:sz="12" w:space="0" w:color="000000"/>
              <w:right w:val="single" w:sz="6" w:space="0" w:color="000000"/>
            </w:tcBorders>
            <w:noWrap/>
          </w:tcPr>
          <w:p>
            <w:pPr>
              <w:spacing w:line="340" w:lineRule="exact"/>
              <w:jc w:val="center"/>
              <w:rPr>
                <w:rFonts w:ascii="宋体" w:cs="宋体"/>
                <w:color w:val="000000"/>
                <w:sz w:val="24"/>
              </w:rPr>
            </w:pPr>
          </w:p>
          <w:p>
            <w:pPr>
              <w:spacing w:line="340" w:lineRule="exact"/>
              <w:jc w:val="center"/>
              <w:rPr>
                <w:rFonts w:ascii="宋体" w:cs="宋体"/>
                <w:color w:val="000000"/>
                <w:sz w:val="24"/>
              </w:rPr>
            </w:pPr>
            <w:r>
              <w:rPr>
                <w:rFonts w:ascii="宋体" w:cs="宋体" w:hint="eastAsia"/>
                <w:color w:val="000000"/>
                <w:sz w:val="24"/>
              </w:rPr>
              <w:t>偏离说明</w:t>
            </w:r>
          </w:p>
        </w:tc>
      </w:tr>
      <w:tr>
        <w:trPr>
          <w:trHeight w:val="414"/>
        </w:trPr>
        <w:tc>
          <w:tcPr>
            <w:tcW w:w="460" w:type="dxa"/>
            <w:tcBorders>
              <w:top w:val="single" w:sz="6" w:space="0" w:color="000000"/>
              <w:left w:val="single" w:sz="6" w:space="0" w:color="000000"/>
              <w:bottom w:val="single" w:sz="12" w:space="0" w:color="000000"/>
              <w:right w:val="single" w:sz="6" w:space="0" w:color="000000"/>
            </w:tcBorders>
            <w:noWrap/>
          </w:tcPr>
          <w:p>
            <w:pPr>
              <w:spacing w:line="340" w:lineRule="exact"/>
              <w:jc w:val="center"/>
              <w:rPr>
                <w:rFonts w:ascii="宋体" w:cs="宋体"/>
                <w:color w:val="000000"/>
                <w:sz w:val="24"/>
              </w:rPr>
            </w:pPr>
            <w:r>
              <w:rPr>
                <w:rFonts w:ascii="宋体" w:cs="宋体" w:hint="eastAsia"/>
                <w:color w:val="000000"/>
                <w:sz w:val="24"/>
              </w:rPr>
              <w:t>1</w:t>
            </w:r>
          </w:p>
        </w:tc>
        <w:tc>
          <w:tcPr>
            <w:tcW w:w="1254" w:type="dxa"/>
            <w:tcBorders>
              <w:top w:val="single" w:sz="6" w:space="0" w:color="000000"/>
              <w:left w:val="single" w:sz="6" w:space="0" w:color="000000"/>
              <w:bottom w:val="single" w:sz="12" w:space="0" w:color="000000"/>
              <w:right w:val="single" w:sz="6" w:space="0" w:color="000000"/>
            </w:tcBorders>
            <w:noWrap/>
            <w:vAlign w:val="center"/>
          </w:tcPr>
          <w:p>
            <w:pPr>
              <w:spacing w:line="340" w:lineRule="exact"/>
              <w:jc w:val="left"/>
              <w:rPr>
                <w:rFonts w:ascii="宋体" w:cs="宋体"/>
                <w:color w:val="000000"/>
                <w:sz w:val="24"/>
              </w:rPr>
            </w:pPr>
          </w:p>
        </w:tc>
        <w:tc>
          <w:tcPr>
            <w:tcW w:w="1095" w:type="dxa"/>
            <w:tcBorders>
              <w:top w:val="single" w:sz="6" w:space="0" w:color="000000"/>
              <w:left w:val="single" w:sz="6" w:space="0" w:color="000000"/>
              <w:bottom w:val="single" w:sz="12" w:space="0" w:color="000000"/>
              <w:right w:val="single" w:sz="6" w:space="0" w:color="000000"/>
            </w:tcBorders>
            <w:noWrap/>
            <w:vAlign w:val="center"/>
          </w:tcPr>
          <w:p>
            <w:pPr>
              <w:spacing w:line="340" w:lineRule="exact"/>
              <w:jc w:val="left"/>
              <w:rPr>
                <w:rFonts w:ascii="宋体" w:cs="宋体"/>
                <w:color w:val="000000"/>
                <w:sz w:val="24"/>
              </w:rPr>
            </w:pPr>
          </w:p>
        </w:tc>
        <w:tc>
          <w:tcPr>
            <w:tcW w:w="1413" w:type="dxa"/>
            <w:tcBorders>
              <w:top w:val="single" w:sz="6" w:space="0" w:color="000000"/>
              <w:left w:val="single" w:sz="6" w:space="0" w:color="000000"/>
              <w:bottom w:val="single" w:sz="12" w:space="0" w:color="000000"/>
              <w:right w:val="single" w:sz="6" w:space="0" w:color="000000"/>
            </w:tcBorders>
            <w:noWrap/>
            <w:vAlign w:val="center"/>
          </w:tcPr>
          <w:p>
            <w:pPr>
              <w:spacing w:line="340" w:lineRule="exact"/>
              <w:jc w:val="left"/>
              <w:rPr>
                <w:rFonts w:ascii="宋体" w:cs="宋体"/>
                <w:color w:val="000000"/>
                <w:sz w:val="24"/>
              </w:rPr>
            </w:pPr>
          </w:p>
        </w:tc>
        <w:tc>
          <w:tcPr>
            <w:tcW w:w="778" w:type="dxa"/>
            <w:tcBorders>
              <w:top w:val="single" w:sz="6" w:space="0" w:color="000000"/>
              <w:left w:val="single" w:sz="6" w:space="0" w:color="000000"/>
              <w:bottom w:val="single" w:sz="12" w:space="0" w:color="000000"/>
              <w:right w:val="single" w:sz="6" w:space="0" w:color="000000"/>
            </w:tcBorders>
            <w:noWrap/>
          </w:tcPr>
          <w:p>
            <w:pPr>
              <w:spacing w:line="340" w:lineRule="exact"/>
              <w:jc w:val="left"/>
              <w:rPr>
                <w:rFonts w:ascii="宋体" w:cs="宋体"/>
                <w:color w:val="000000"/>
                <w:sz w:val="24"/>
              </w:rPr>
            </w:pPr>
          </w:p>
        </w:tc>
      </w:tr>
      <w:tr>
        <w:trPr>
          <w:trHeight w:val="548"/>
        </w:trPr>
        <w:tc>
          <w:tcPr>
            <w:tcW w:w="460" w:type="dxa"/>
            <w:tcBorders>
              <w:top w:val="single" w:sz="6" w:space="0" w:color="000000"/>
              <w:left w:val="single" w:sz="6" w:space="0" w:color="000000"/>
              <w:bottom w:val="single" w:sz="12" w:space="0" w:color="000000"/>
              <w:right w:val="single" w:sz="6" w:space="0" w:color="000000"/>
            </w:tcBorders>
            <w:noWrap/>
          </w:tcPr>
          <w:p>
            <w:pPr>
              <w:spacing w:line="340" w:lineRule="exact"/>
              <w:jc w:val="center"/>
              <w:rPr>
                <w:rFonts w:ascii="宋体" w:cs="宋体"/>
                <w:color w:val="000000"/>
                <w:sz w:val="24"/>
              </w:rPr>
            </w:pPr>
            <w:r>
              <w:rPr>
                <w:rFonts w:ascii="宋体" w:cs="宋体" w:hint="eastAsia"/>
                <w:color w:val="000000"/>
                <w:sz w:val="24"/>
              </w:rPr>
              <w:t>2</w:t>
            </w:r>
          </w:p>
        </w:tc>
        <w:tc>
          <w:tcPr>
            <w:tcW w:w="1254" w:type="dxa"/>
            <w:tcBorders>
              <w:top w:val="single" w:sz="6" w:space="0" w:color="000000"/>
              <w:left w:val="single" w:sz="6" w:space="0" w:color="000000"/>
              <w:bottom w:val="single" w:sz="12" w:space="0" w:color="000000"/>
              <w:right w:val="single" w:sz="6" w:space="0" w:color="000000"/>
            </w:tcBorders>
            <w:noWrap/>
            <w:vAlign w:val="center"/>
          </w:tcPr>
          <w:p>
            <w:pPr>
              <w:spacing w:line="340" w:lineRule="exact"/>
              <w:jc w:val="left"/>
              <w:rPr>
                <w:rFonts w:ascii="宋体" w:cs="宋体"/>
                <w:color w:val="000000"/>
                <w:sz w:val="24"/>
              </w:rPr>
            </w:pPr>
          </w:p>
        </w:tc>
        <w:tc>
          <w:tcPr>
            <w:tcW w:w="1095" w:type="dxa"/>
            <w:tcBorders>
              <w:top w:val="single" w:sz="6" w:space="0" w:color="000000"/>
              <w:left w:val="single" w:sz="6" w:space="0" w:color="000000"/>
              <w:bottom w:val="single" w:sz="12" w:space="0" w:color="000000"/>
              <w:right w:val="single" w:sz="6" w:space="0" w:color="000000"/>
            </w:tcBorders>
            <w:noWrap/>
            <w:vAlign w:val="center"/>
          </w:tcPr>
          <w:p>
            <w:pPr>
              <w:spacing w:line="340" w:lineRule="exact"/>
              <w:jc w:val="left"/>
              <w:rPr>
                <w:rFonts w:ascii="宋体" w:cs="宋体"/>
                <w:color w:val="000000"/>
                <w:sz w:val="24"/>
              </w:rPr>
            </w:pPr>
          </w:p>
        </w:tc>
        <w:tc>
          <w:tcPr>
            <w:tcW w:w="1413" w:type="dxa"/>
            <w:tcBorders>
              <w:top w:val="single" w:sz="6" w:space="0" w:color="000000"/>
              <w:left w:val="single" w:sz="6" w:space="0" w:color="000000"/>
              <w:bottom w:val="single" w:sz="12" w:space="0" w:color="000000"/>
              <w:right w:val="single" w:sz="6" w:space="0" w:color="000000"/>
            </w:tcBorders>
            <w:noWrap/>
            <w:vAlign w:val="center"/>
          </w:tcPr>
          <w:p>
            <w:pPr>
              <w:spacing w:line="340" w:lineRule="exact"/>
              <w:jc w:val="left"/>
              <w:rPr>
                <w:rFonts w:ascii="宋体" w:cs="宋体"/>
                <w:color w:val="000000"/>
                <w:sz w:val="24"/>
              </w:rPr>
            </w:pPr>
          </w:p>
        </w:tc>
        <w:tc>
          <w:tcPr>
            <w:tcW w:w="778" w:type="dxa"/>
            <w:tcBorders>
              <w:top w:val="single" w:sz="6" w:space="0" w:color="000000"/>
              <w:left w:val="single" w:sz="6" w:space="0" w:color="000000"/>
              <w:bottom w:val="single" w:sz="12" w:space="0" w:color="000000"/>
              <w:right w:val="single" w:sz="6" w:space="0" w:color="000000"/>
            </w:tcBorders>
            <w:noWrap/>
          </w:tcPr>
          <w:p>
            <w:pPr>
              <w:spacing w:line="340" w:lineRule="exact"/>
              <w:jc w:val="left"/>
              <w:rPr>
                <w:rFonts w:ascii="宋体" w:cs="宋体"/>
                <w:color w:val="000000"/>
                <w:sz w:val="24"/>
              </w:rPr>
            </w:pPr>
          </w:p>
        </w:tc>
      </w:tr>
      <w:tr>
        <w:trPr>
          <w:trHeight w:val="400"/>
        </w:trPr>
        <w:tc>
          <w:tcPr>
            <w:tcW w:w="460" w:type="dxa"/>
            <w:tcBorders>
              <w:top w:val="single" w:sz="6" w:space="0" w:color="000000"/>
              <w:left w:val="single" w:sz="6" w:space="0" w:color="000000"/>
              <w:bottom w:val="single" w:sz="12" w:space="0" w:color="000000"/>
              <w:right w:val="single" w:sz="6" w:space="0" w:color="000000"/>
            </w:tcBorders>
            <w:noWrap/>
          </w:tcPr>
          <w:p>
            <w:pPr>
              <w:spacing w:line="340" w:lineRule="exact"/>
              <w:jc w:val="center"/>
              <w:rPr>
                <w:rFonts w:ascii="宋体" w:cs="宋体"/>
                <w:color w:val="000000"/>
                <w:sz w:val="24"/>
              </w:rPr>
            </w:pPr>
            <w:r>
              <w:rPr>
                <w:rFonts w:ascii="宋体" w:cs="宋体" w:hint="eastAsia"/>
                <w:color w:val="000000"/>
                <w:sz w:val="24"/>
              </w:rPr>
              <w:t>3</w:t>
            </w:r>
          </w:p>
        </w:tc>
        <w:tc>
          <w:tcPr>
            <w:tcW w:w="1254" w:type="dxa"/>
            <w:tcBorders>
              <w:top w:val="single" w:sz="6" w:space="0" w:color="000000"/>
              <w:left w:val="single" w:sz="6" w:space="0" w:color="000000"/>
              <w:bottom w:val="single" w:sz="12" w:space="0" w:color="000000"/>
              <w:right w:val="single" w:sz="6" w:space="0" w:color="000000"/>
            </w:tcBorders>
            <w:noWrap/>
            <w:vAlign w:val="center"/>
          </w:tcPr>
          <w:p>
            <w:pPr>
              <w:spacing w:line="340" w:lineRule="exact"/>
              <w:jc w:val="left"/>
              <w:rPr>
                <w:rFonts w:ascii="宋体" w:cs="宋体"/>
                <w:color w:val="000000"/>
                <w:sz w:val="24"/>
              </w:rPr>
            </w:pPr>
          </w:p>
        </w:tc>
        <w:tc>
          <w:tcPr>
            <w:tcW w:w="1095" w:type="dxa"/>
            <w:tcBorders>
              <w:top w:val="single" w:sz="6" w:space="0" w:color="000000"/>
              <w:left w:val="single" w:sz="6" w:space="0" w:color="000000"/>
              <w:bottom w:val="single" w:sz="12" w:space="0" w:color="000000"/>
              <w:right w:val="single" w:sz="6" w:space="0" w:color="000000"/>
            </w:tcBorders>
            <w:noWrap/>
            <w:vAlign w:val="center"/>
          </w:tcPr>
          <w:p>
            <w:pPr>
              <w:spacing w:line="340" w:lineRule="exact"/>
              <w:jc w:val="left"/>
              <w:rPr>
                <w:rFonts w:ascii="宋体" w:cs="宋体"/>
                <w:color w:val="000000"/>
                <w:sz w:val="24"/>
              </w:rPr>
            </w:pPr>
          </w:p>
        </w:tc>
        <w:tc>
          <w:tcPr>
            <w:tcW w:w="1413" w:type="dxa"/>
            <w:tcBorders>
              <w:top w:val="single" w:sz="6" w:space="0" w:color="000000"/>
              <w:left w:val="single" w:sz="6" w:space="0" w:color="000000"/>
              <w:bottom w:val="single" w:sz="12" w:space="0" w:color="000000"/>
              <w:right w:val="single" w:sz="6" w:space="0" w:color="000000"/>
            </w:tcBorders>
            <w:noWrap/>
            <w:vAlign w:val="center"/>
          </w:tcPr>
          <w:p>
            <w:pPr>
              <w:spacing w:line="340" w:lineRule="exact"/>
              <w:jc w:val="left"/>
              <w:rPr>
                <w:rFonts w:ascii="宋体" w:cs="宋体"/>
                <w:color w:val="000000"/>
                <w:sz w:val="24"/>
              </w:rPr>
            </w:pPr>
          </w:p>
        </w:tc>
        <w:tc>
          <w:tcPr>
            <w:tcW w:w="778" w:type="dxa"/>
            <w:tcBorders>
              <w:top w:val="single" w:sz="6" w:space="0" w:color="000000"/>
              <w:left w:val="single" w:sz="6" w:space="0" w:color="000000"/>
              <w:bottom w:val="single" w:sz="12" w:space="0" w:color="000000"/>
              <w:right w:val="single" w:sz="6" w:space="0" w:color="000000"/>
            </w:tcBorders>
            <w:noWrap/>
          </w:tcPr>
          <w:p>
            <w:pPr>
              <w:spacing w:line="340" w:lineRule="exact"/>
              <w:jc w:val="left"/>
              <w:rPr>
                <w:rFonts w:ascii="宋体" w:cs="宋体"/>
                <w:color w:val="000000"/>
                <w:sz w:val="24"/>
              </w:rPr>
            </w:pPr>
          </w:p>
        </w:tc>
      </w:tr>
      <w:tr>
        <w:trPr>
          <w:trHeight w:val="419"/>
        </w:trPr>
        <w:tc>
          <w:tcPr>
            <w:tcW w:w="460" w:type="dxa"/>
            <w:tcBorders>
              <w:top w:val="single" w:sz="6" w:space="0" w:color="000000"/>
              <w:left w:val="single" w:sz="6" w:space="0" w:color="000000"/>
              <w:bottom w:val="single" w:sz="12" w:space="0" w:color="000000"/>
              <w:right w:val="single" w:sz="6" w:space="0" w:color="000000"/>
            </w:tcBorders>
            <w:noWrap/>
          </w:tcPr>
          <w:p>
            <w:pPr>
              <w:spacing w:line="340" w:lineRule="exact"/>
              <w:jc w:val="center"/>
              <w:rPr>
                <w:rFonts w:ascii="宋体" w:cs="宋体"/>
                <w:color w:val="000000"/>
                <w:sz w:val="24"/>
              </w:rPr>
            </w:pPr>
            <w:r>
              <w:rPr>
                <w:rFonts w:ascii="宋体" w:cs="宋体" w:hint="eastAsia"/>
                <w:color w:val="000000"/>
                <w:sz w:val="24"/>
              </w:rPr>
              <w:t>4</w:t>
            </w:r>
          </w:p>
        </w:tc>
        <w:tc>
          <w:tcPr>
            <w:tcW w:w="1254" w:type="dxa"/>
            <w:tcBorders>
              <w:top w:val="single" w:sz="6" w:space="0" w:color="000000"/>
              <w:left w:val="single" w:sz="6" w:space="0" w:color="000000"/>
              <w:bottom w:val="single" w:sz="12" w:space="0" w:color="000000"/>
              <w:right w:val="single" w:sz="6" w:space="0" w:color="000000"/>
            </w:tcBorders>
            <w:noWrap/>
            <w:vAlign w:val="center"/>
          </w:tcPr>
          <w:p>
            <w:pPr>
              <w:spacing w:line="340" w:lineRule="exact"/>
              <w:jc w:val="left"/>
              <w:rPr>
                <w:rFonts w:ascii="宋体" w:cs="宋体"/>
                <w:color w:val="000000"/>
                <w:sz w:val="24"/>
              </w:rPr>
            </w:pPr>
          </w:p>
        </w:tc>
        <w:tc>
          <w:tcPr>
            <w:tcW w:w="1095" w:type="dxa"/>
            <w:tcBorders>
              <w:top w:val="single" w:sz="6" w:space="0" w:color="000000"/>
              <w:left w:val="single" w:sz="6" w:space="0" w:color="000000"/>
              <w:bottom w:val="single" w:sz="12" w:space="0" w:color="000000"/>
              <w:right w:val="single" w:sz="6" w:space="0" w:color="000000"/>
            </w:tcBorders>
            <w:noWrap/>
            <w:vAlign w:val="center"/>
          </w:tcPr>
          <w:p>
            <w:pPr>
              <w:spacing w:line="340" w:lineRule="exact"/>
              <w:jc w:val="left"/>
              <w:rPr>
                <w:rFonts w:ascii="宋体" w:cs="宋体"/>
                <w:color w:val="000000"/>
                <w:sz w:val="24"/>
              </w:rPr>
            </w:pPr>
          </w:p>
        </w:tc>
        <w:tc>
          <w:tcPr>
            <w:tcW w:w="1413" w:type="dxa"/>
            <w:tcBorders>
              <w:top w:val="single" w:sz="6" w:space="0" w:color="000000"/>
              <w:left w:val="single" w:sz="6" w:space="0" w:color="000000"/>
              <w:bottom w:val="single" w:sz="12" w:space="0" w:color="000000"/>
              <w:right w:val="single" w:sz="6" w:space="0" w:color="000000"/>
            </w:tcBorders>
            <w:noWrap/>
            <w:vAlign w:val="center"/>
          </w:tcPr>
          <w:p>
            <w:pPr>
              <w:spacing w:line="340" w:lineRule="exact"/>
              <w:jc w:val="left"/>
              <w:rPr>
                <w:rFonts w:ascii="宋体" w:cs="宋体"/>
                <w:color w:val="000000"/>
                <w:sz w:val="24"/>
              </w:rPr>
            </w:pPr>
          </w:p>
        </w:tc>
        <w:tc>
          <w:tcPr>
            <w:tcW w:w="778" w:type="dxa"/>
            <w:tcBorders>
              <w:top w:val="single" w:sz="6" w:space="0" w:color="000000"/>
              <w:left w:val="single" w:sz="6" w:space="0" w:color="000000"/>
              <w:bottom w:val="single" w:sz="12" w:space="0" w:color="000000"/>
              <w:right w:val="single" w:sz="6" w:space="0" w:color="000000"/>
            </w:tcBorders>
            <w:noWrap/>
          </w:tcPr>
          <w:p>
            <w:pPr>
              <w:spacing w:line="340" w:lineRule="exact"/>
              <w:jc w:val="left"/>
              <w:rPr>
                <w:rFonts w:ascii="宋体" w:cs="宋体"/>
                <w:color w:val="000000"/>
                <w:sz w:val="24"/>
              </w:rPr>
            </w:pPr>
          </w:p>
        </w:tc>
      </w:tr>
    </w:tbl>
    <w:p>
      <w:pPr>
        <w:spacing w:line="300" w:lineRule="auto"/>
        <w:contextualSpacing/>
        <w:rPr>
          <w:rFonts w:ascii="宋体" w:cs="宋体"/>
          <w:b/>
          <w:color w:val="000000"/>
          <w:sz w:val="24"/>
        </w:rPr>
      </w:pPr>
      <w:r>
        <w:rPr>
          <w:rFonts w:ascii="宋体" w:cs="宋体" w:hint="eastAsia"/>
          <w:b/>
          <w:color w:val="000000"/>
          <w:sz w:val="24"/>
        </w:rPr>
        <w:t>注：</w:t>
      </w:r>
    </w:p>
    <w:p>
      <w:pPr>
        <w:spacing w:line="300" w:lineRule="auto"/>
        <w:ind w:firstLine="480"/>
        <w:contextualSpacing/>
        <w:rPr>
          <w:rFonts w:ascii="宋体" w:cs="宋体"/>
          <w:color w:val="000000"/>
          <w:sz w:val="24"/>
        </w:rPr>
      </w:pPr>
      <w:r>
        <w:rPr>
          <w:rFonts w:ascii="宋体" w:cs="宋体" w:hint="eastAsia"/>
          <w:color w:val="000000"/>
          <w:sz w:val="24"/>
        </w:rPr>
        <w:t>1.供应商提交的响应文件中与磋商文件第三部分“项目需求”中的技术部分的要求，应逐条填列在偏离表中。</w:t>
      </w:r>
    </w:p>
    <w:p>
      <w:pPr>
        <w:spacing w:line="300" w:lineRule="auto"/>
        <w:ind w:firstLine="480"/>
        <w:contextualSpacing/>
        <w:rPr>
          <w:rFonts w:ascii="宋体" w:cs="宋体"/>
          <w:color w:val="000000"/>
          <w:sz w:val="24"/>
        </w:rPr>
      </w:pPr>
      <w:r>
        <w:rPr>
          <w:rFonts w:ascii="宋体" w:cs="宋体" w:hint="eastAsia"/>
          <w:color w:val="000000"/>
          <w:sz w:val="24"/>
        </w:rPr>
        <w:t>2.“偏离说明”一栏选择“正偏离”、“无偏离”、“负偏离”进行填写。正偏离的确认和负偏离的是否响应磋商文件，由磋商小组认定。</w:t>
      </w:r>
    </w:p>
    <w:p>
      <w:pPr>
        <w:spacing w:line="300" w:lineRule="auto"/>
        <w:ind w:firstLine="480"/>
        <w:contextualSpacing/>
        <w:rPr>
          <w:rFonts w:ascii="宋体" w:cs="宋体"/>
          <w:color w:val="000000"/>
          <w:sz w:val="24"/>
        </w:rPr>
      </w:pPr>
      <w:r>
        <w:rPr>
          <w:rFonts w:ascii="宋体" w:cs="宋体" w:hint="eastAsia"/>
          <w:color w:val="000000"/>
          <w:sz w:val="24"/>
        </w:rPr>
        <w:t>3.供应商如果虚假响应，将被暂停参加采购人组织政府采购活动。</w:t>
      </w:r>
    </w:p>
    <w:p>
      <w:pPr>
        <w:spacing w:line="300" w:lineRule="auto"/>
        <w:ind w:firstLine="480"/>
        <w:contextualSpacing/>
        <w:rPr>
          <w:rFonts w:ascii="宋体" w:cs="宋体"/>
          <w:color w:val="000000"/>
          <w:sz w:val="32"/>
          <w:szCs w:val="32"/>
        </w:rPr>
      </w:pPr>
      <w:r>
        <w:rPr>
          <w:rFonts w:ascii="宋体" w:cs="宋体" w:hint="eastAsia"/>
          <w:bCs/>
          <w:color w:val="000000"/>
          <w:sz w:val="24"/>
        </w:rPr>
        <w:t>4.供应商若提供其他增值服务，可以在表中自行据实填写。</w:t>
      </w:r>
    </w:p>
    <w:p>
      <w:pPr>
        <w:pStyle w:val="21"/>
        <w:rPr>
          <w:rFonts w:ascii="宋体" w:cs="宋体"/>
          <w:kern w:val="0"/>
          <w:sz w:val="32"/>
          <w:szCs w:val="32"/>
        </w:rPr>
      </w:pPr>
      <w:r>
        <w:rPr>
          <w:rFonts w:ascii="宋体" w:cs="宋体" w:hint="eastAsia"/>
          <w:kern w:val="0"/>
          <w:sz w:val="32"/>
          <w:szCs w:val="32"/>
        </w:rPr>
        <w:br w:type="page"/>
        <w:t>附件6</w:t>
      </w:r>
    </w:p>
    <w:p>
      <w:pPr>
        <w:widowControl/>
        <w:spacing w:before="100" w:beforeAutospacing="1" w:after="100" w:afterAutospacing="1" w:line="360" w:lineRule="auto"/>
        <w:jc w:val="center"/>
        <w:rPr>
          <w:rFonts w:ascii="宋体" w:cs="宋体"/>
          <w:kern w:val="0"/>
          <w:sz w:val="32"/>
          <w:szCs w:val="32"/>
        </w:rPr>
      </w:pPr>
      <w:r>
        <w:rPr>
          <w:rFonts w:ascii="宋体" w:cs="宋体" w:hint="eastAsia"/>
          <w:b/>
          <w:bCs/>
          <w:kern w:val="0"/>
          <w:sz w:val="32"/>
          <w:szCs w:val="32"/>
        </w:rPr>
        <w:t>报价总表</w:t>
      </w:r>
    </w:p>
    <w:p>
      <w:pPr>
        <w:spacing w:line="360" w:lineRule="auto"/>
        <w:rPr>
          <w:rFonts w:ascii="宋体" w:cs="宋体"/>
          <w:kern w:val="0"/>
          <w:sz w:val="28"/>
          <w:szCs w:val="28"/>
          <w:u w:val="single"/>
        </w:rPr>
      </w:pPr>
      <w:r>
        <w:rPr>
          <w:rFonts w:ascii="宋体" w:cs="宋体" w:hint="eastAsia"/>
          <w:kern w:val="0"/>
          <w:sz w:val="28"/>
          <w:szCs w:val="28"/>
        </w:rPr>
        <w:t>供应商全称（加盖公章）：</w:t>
      </w:r>
    </w:p>
    <w:p>
      <w:pPr>
        <w:spacing w:line="360" w:lineRule="auto"/>
        <w:rPr>
          <w:rFonts w:ascii="宋体" w:cs="宋体"/>
          <w:kern w:val="0"/>
          <w:sz w:val="28"/>
          <w:szCs w:val="28"/>
          <w:u w:val="single"/>
        </w:rPr>
      </w:pPr>
      <w:r>
        <w:rPr>
          <w:rFonts w:ascii="宋体" w:cs="宋体" w:hint="eastAsia"/>
          <w:kern w:val="0"/>
          <w:sz w:val="28"/>
          <w:szCs w:val="28"/>
        </w:rPr>
        <w:t>项目名称：</w:t>
      </w:r>
    </w:p>
    <w:p>
      <w:pPr>
        <w:spacing w:line="360" w:lineRule="auto"/>
        <w:rPr>
          <w:rFonts w:ascii="宋体" w:cs="宋体"/>
          <w:kern w:val="0"/>
          <w:sz w:val="28"/>
          <w:szCs w:val="28"/>
        </w:rPr>
      </w:pPr>
      <w:r>
        <w:rPr>
          <w:rFonts w:ascii="宋体" w:cs="宋体" w:hint="eastAsia"/>
          <w:kern w:val="0"/>
          <w:sz w:val="28"/>
          <w:szCs w:val="28"/>
        </w:rPr>
        <w:t>项目编号：</w:t>
      </w:r>
    </w:p>
    <w:p>
      <w:pPr>
        <w:spacing w:line="360" w:lineRule="auto"/>
        <w:rPr>
          <w:rFonts w:ascii="宋体" w:cs="宋体"/>
          <w:kern w:val="0"/>
          <w:sz w:val="28"/>
          <w:szCs w:val="28"/>
        </w:rPr>
      </w:pPr>
      <w:r>
        <w:rPr>
          <w:rFonts w:ascii="宋体" w:cs="宋体" w:hint="eastAsia"/>
          <w:kern w:val="0"/>
          <w:sz w:val="28"/>
          <w:szCs w:val="28"/>
        </w:rPr>
        <w:t>分包号：</w:t>
      </w:r>
    </w:p>
    <w:tbl>
      <w:tblPr>
        <w:jc w:val="left"/>
        <w:tblInd w:w="0" w:type="dxa"/>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4038"/>
        <w:gridCol w:w="4483"/>
      </w:tblGrid>
      <w:tr>
        <w:tc>
          <w:tcPr>
            <w:tcW w:w="2369" w:type="pct"/>
            <w:tcBorders>
              <w:top w:val="single" w:sz="4" w:space="0" w:color="auto"/>
              <w:left w:val="single" w:sz="4" w:space="0" w:color="auto"/>
              <w:bottom w:val="single" w:sz="4" w:space="0" w:color="auto"/>
              <w:right w:val="single" w:sz="4" w:space="0" w:color="auto"/>
            </w:tcBorders>
            <w:noWrap/>
          </w:tcPr>
          <w:p>
            <w:pPr>
              <w:spacing w:line="360" w:lineRule="auto"/>
              <w:jc w:val="center"/>
              <w:rPr>
                <w:rFonts w:ascii="宋体" w:cs="宋体"/>
                <w:szCs w:val="22"/>
              </w:rPr>
            </w:pPr>
            <w:r>
              <w:rPr>
                <w:rFonts w:ascii="宋体" w:cs="宋体" w:hint="eastAsia"/>
                <w:kern w:val="0"/>
                <w:sz w:val="28"/>
                <w:szCs w:val="28"/>
              </w:rPr>
              <w:t>磋商货物、服务名称</w:t>
            </w:r>
          </w:p>
        </w:tc>
        <w:tc>
          <w:tcPr>
            <w:tcW w:w="2630" w:type="pct"/>
            <w:tcBorders>
              <w:top w:val="single" w:sz="4" w:space="0" w:color="auto"/>
              <w:left w:val="single" w:sz="4" w:space="0" w:color="auto"/>
              <w:bottom w:val="single" w:sz="4" w:space="0" w:color="auto"/>
              <w:right w:val="single" w:sz="4" w:space="0" w:color="auto"/>
            </w:tcBorders>
            <w:noWrap/>
          </w:tcPr>
          <w:p>
            <w:pPr>
              <w:spacing w:line="360" w:lineRule="auto"/>
              <w:jc w:val="center"/>
              <w:rPr>
                <w:rFonts w:ascii="宋体" w:cs="宋体"/>
                <w:szCs w:val="22"/>
              </w:rPr>
            </w:pPr>
            <w:r>
              <w:rPr>
                <w:rFonts w:ascii="宋体" w:cs="宋体" w:hint="eastAsia"/>
                <w:kern w:val="0"/>
                <w:sz w:val="28"/>
                <w:szCs w:val="28"/>
              </w:rPr>
              <w:t>磋商总报价（元）</w:t>
            </w:r>
          </w:p>
        </w:tc>
      </w:tr>
      <w:tr>
        <w:trPr>
          <w:trHeight w:val="1091"/>
        </w:trPr>
        <w:tc>
          <w:tcPr>
            <w:tcW w:w="2369" w:type="pct"/>
            <w:tcBorders>
              <w:top w:val="single" w:sz="4" w:space="0" w:color="auto"/>
              <w:left w:val="single" w:sz="4" w:space="0" w:color="auto"/>
              <w:bottom w:val="single" w:sz="4" w:space="0" w:color="auto"/>
              <w:right w:val="single" w:sz="4" w:space="0" w:color="auto"/>
            </w:tcBorders>
            <w:noWrap/>
          </w:tcPr>
          <w:p>
            <w:pPr>
              <w:spacing w:line="360" w:lineRule="auto"/>
              <w:jc w:val="left"/>
              <w:rPr>
                <w:rFonts w:ascii="宋体" w:cs="宋体"/>
                <w:szCs w:val="22"/>
              </w:rPr>
            </w:pPr>
          </w:p>
        </w:tc>
        <w:tc>
          <w:tcPr>
            <w:tcW w:w="2630" w:type="pct"/>
            <w:tcBorders>
              <w:top w:val="single" w:sz="4" w:space="0" w:color="auto"/>
              <w:left w:val="single" w:sz="4" w:space="0" w:color="auto"/>
              <w:bottom w:val="single" w:sz="4" w:space="0" w:color="auto"/>
              <w:right w:val="single" w:sz="4" w:space="0" w:color="auto"/>
            </w:tcBorders>
            <w:noWrap/>
            <w:vAlign w:val="center"/>
          </w:tcPr>
          <w:p>
            <w:pPr>
              <w:spacing w:line="360" w:lineRule="auto"/>
              <w:rPr>
                <w:rFonts w:ascii="宋体" w:cs="宋体"/>
                <w:kern w:val="0"/>
                <w:sz w:val="28"/>
                <w:szCs w:val="28"/>
              </w:rPr>
            </w:pPr>
            <w:r>
              <w:rPr>
                <w:rFonts w:ascii="宋体" w:cs="宋体" w:hint="eastAsia"/>
                <w:kern w:val="0"/>
                <w:sz w:val="28"/>
                <w:szCs w:val="28"/>
              </w:rPr>
              <w:t>大写：</w:t>
            </w:r>
          </w:p>
          <w:p>
            <w:pPr>
              <w:spacing w:line="360" w:lineRule="auto"/>
              <w:rPr>
                <w:rFonts w:ascii="宋体" w:cs="宋体"/>
                <w:szCs w:val="22"/>
                <w:u w:val="single"/>
              </w:rPr>
            </w:pPr>
            <w:r>
              <w:rPr>
                <w:rFonts w:ascii="宋体" w:cs="宋体" w:hint="eastAsia"/>
                <w:kern w:val="0"/>
                <w:sz w:val="28"/>
                <w:szCs w:val="28"/>
              </w:rPr>
              <w:t xml:space="preserve">小写：     </w:t>
            </w:r>
          </w:p>
        </w:tc>
      </w:tr>
    </w:tbl>
    <w:p>
      <w:pPr>
        <w:spacing w:line="360" w:lineRule="auto"/>
        <w:rPr>
          <w:rFonts w:ascii="宋体" w:cs="宋体"/>
          <w:kern w:val="0"/>
          <w:sz w:val="28"/>
          <w:szCs w:val="28"/>
        </w:rPr>
      </w:pPr>
      <w:r>
        <w:rPr>
          <w:rFonts w:ascii="宋体" w:cs="宋体" w:hint="eastAsia"/>
          <w:kern w:val="0"/>
          <w:sz w:val="28"/>
          <w:szCs w:val="28"/>
        </w:rPr>
        <w:t>日期：</w:t>
      </w:r>
    </w:p>
    <w:p>
      <w:pPr>
        <w:spacing w:line="360" w:lineRule="auto"/>
        <w:rPr>
          <w:rFonts w:ascii="宋体" w:cs="宋体"/>
          <w:kern w:val="0"/>
          <w:sz w:val="28"/>
          <w:szCs w:val="28"/>
        </w:rPr>
      </w:pPr>
      <w:r>
        <w:rPr>
          <w:rFonts w:ascii="宋体" w:cs="宋体" w:hint="eastAsia"/>
          <w:kern w:val="0"/>
          <w:sz w:val="28"/>
          <w:szCs w:val="28"/>
        </w:rPr>
        <w:t>填写说明：</w:t>
      </w:r>
    </w:p>
    <w:p>
      <w:pPr>
        <w:spacing w:line="360" w:lineRule="auto"/>
        <w:rPr>
          <w:rFonts w:ascii="宋体" w:cs="宋体"/>
          <w:kern w:val="0"/>
          <w:sz w:val="28"/>
          <w:szCs w:val="28"/>
        </w:rPr>
      </w:pPr>
      <w:r>
        <w:rPr>
          <w:rFonts w:ascii="宋体" w:cs="宋体" w:hint="eastAsia"/>
          <w:kern w:val="0"/>
          <w:sz w:val="28"/>
          <w:szCs w:val="28"/>
        </w:rPr>
        <w:t>1、报价总表必须加盖供应商公章（复印件无效）。</w:t>
      </w:r>
    </w:p>
    <w:p>
      <w:pPr>
        <w:snapToGrid w:val="0"/>
        <w:spacing w:line="360" w:lineRule="auto"/>
        <w:ind w:firstLineChars="192" w:firstLine="538"/>
        <w:contextualSpacing/>
        <w:rPr>
          <w:rFonts w:ascii="宋体" w:cs="宋体"/>
          <w:b/>
          <w:kern w:val="0"/>
          <w:sz w:val="28"/>
          <w:szCs w:val="28"/>
        </w:rPr>
      </w:pPr>
    </w:p>
    <w:p>
      <w:pPr>
        <w:snapToGrid w:val="0"/>
        <w:spacing w:line="360" w:lineRule="auto"/>
        <w:ind w:firstLineChars="192" w:firstLine="538"/>
        <w:contextualSpacing/>
        <w:rPr>
          <w:rFonts w:ascii="宋体" w:cs="宋体"/>
          <w:b/>
          <w:kern w:val="0"/>
          <w:sz w:val="28"/>
          <w:szCs w:val="28"/>
        </w:rPr>
      </w:pPr>
    </w:p>
    <w:p>
      <w:pPr>
        <w:snapToGrid w:val="0"/>
        <w:spacing w:line="360" w:lineRule="auto"/>
        <w:ind w:firstLineChars="192" w:firstLine="538"/>
        <w:contextualSpacing/>
        <w:rPr>
          <w:rFonts w:ascii="宋体" w:cs="宋体"/>
          <w:b/>
          <w:kern w:val="0"/>
          <w:sz w:val="28"/>
          <w:szCs w:val="28"/>
        </w:rPr>
      </w:pPr>
    </w:p>
    <w:p>
      <w:pPr>
        <w:snapToGrid w:val="0"/>
        <w:spacing w:line="360" w:lineRule="auto"/>
        <w:ind w:firstLineChars="192" w:firstLine="538"/>
        <w:contextualSpacing/>
        <w:rPr>
          <w:rFonts w:ascii="宋体" w:cs="宋体"/>
          <w:b/>
          <w:kern w:val="0"/>
          <w:sz w:val="28"/>
          <w:szCs w:val="28"/>
        </w:rPr>
      </w:pPr>
    </w:p>
    <w:p>
      <w:pPr>
        <w:snapToGrid w:val="0"/>
        <w:spacing w:line="360" w:lineRule="auto"/>
        <w:ind w:firstLineChars="192" w:firstLine="538"/>
        <w:contextualSpacing/>
        <w:rPr>
          <w:rFonts w:ascii="宋体" w:cs="宋体"/>
          <w:b/>
          <w:kern w:val="0"/>
          <w:sz w:val="28"/>
          <w:szCs w:val="28"/>
        </w:rPr>
      </w:pPr>
    </w:p>
    <w:p>
      <w:pPr>
        <w:snapToGrid w:val="0"/>
        <w:spacing w:line="360" w:lineRule="auto"/>
        <w:ind w:firstLineChars="192" w:firstLine="538"/>
        <w:contextualSpacing/>
        <w:rPr>
          <w:rFonts w:ascii="宋体" w:cs="宋体"/>
          <w:b/>
          <w:kern w:val="0"/>
          <w:sz w:val="28"/>
          <w:szCs w:val="28"/>
        </w:rPr>
      </w:pPr>
    </w:p>
    <w:p>
      <w:pPr>
        <w:snapToGrid w:val="0"/>
        <w:spacing w:line="360" w:lineRule="auto"/>
        <w:jc w:val="left"/>
        <w:rPr>
          <w:rFonts w:ascii="宋体" w:cs="宋体"/>
          <w:kern w:val="0"/>
          <w:sz w:val="32"/>
          <w:szCs w:val="32"/>
        </w:rPr>
      </w:pPr>
      <w:r>
        <w:rPr>
          <w:rFonts w:ascii="宋体" w:cs="宋体" w:hint="eastAsia"/>
          <w:sz w:val="32"/>
          <w:szCs w:val="32"/>
        </w:rPr>
        <w:br w:type="page"/>
      </w:r>
      <w:r>
        <w:rPr>
          <w:rFonts w:ascii="宋体" w:cs="宋体" w:hint="eastAsia"/>
          <w:kern w:val="0"/>
          <w:sz w:val="32"/>
          <w:szCs w:val="32"/>
        </w:rPr>
        <w:t>附件7</w:t>
      </w:r>
    </w:p>
    <w:p>
      <w:pPr>
        <w:spacing w:line="400" w:lineRule="exact"/>
        <w:jc w:val="center"/>
        <w:rPr>
          <w:rFonts w:ascii="宋体" w:cs="宋体"/>
          <w:b/>
          <w:bCs/>
          <w:sz w:val="32"/>
          <w:szCs w:val="32"/>
        </w:rPr>
      </w:pPr>
      <w:r>
        <w:rPr>
          <w:rFonts w:ascii="宋体" w:cs="宋体" w:hint="eastAsia"/>
          <w:b/>
          <w:bCs/>
          <w:sz w:val="32"/>
          <w:szCs w:val="32"/>
        </w:rPr>
        <w:t>分项报价明细表（服务类）</w:t>
      </w:r>
    </w:p>
    <w:p>
      <w:pPr>
        <w:snapToGrid w:val="0"/>
        <w:spacing w:line="400" w:lineRule="exact"/>
        <w:rPr>
          <w:rFonts w:ascii="宋体" w:cs="宋体"/>
          <w:sz w:val="28"/>
          <w:szCs w:val="28"/>
        </w:rPr>
      </w:pPr>
      <w:r>
        <w:rPr>
          <w:rFonts w:ascii="宋体" w:cs="宋体" w:hint="eastAsia"/>
          <w:sz w:val="28"/>
          <w:szCs w:val="28"/>
        </w:rPr>
        <w:t>投标人（盖章）：</w:t>
      </w:r>
    </w:p>
    <w:tbl>
      <w:tblPr>
        <w:jc w:val="cente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71"/>
        <w:gridCol w:w="1321"/>
        <w:gridCol w:w="1417"/>
        <w:gridCol w:w="1418"/>
        <w:gridCol w:w="1275"/>
        <w:gridCol w:w="1276"/>
        <w:gridCol w:w="851"/>
        <w:gridCol w:w="1151"/>
      </w:tblGrid>
      <w:tr>
        <w:trPr>
          <w:cantSplit/>
          <w:trHeight w:hRule="exact" w:val="624"/>
        </w:trPr>
        <w:tc>
          <w:tcPr>
            <w:tcW w:w="971"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宋体"/>
                <w:b/>
                <w:szCs w:val="21"/>
              </w:rPr>
            </w:pPr>
            <w:r>
              <w:rPr>
                <w:rFonts w:ascii="宋体" w:hint="eastAsia"/>
                <w:b/>
                <w:szCs w:val="21"/>
              </w:rPr>
              <w:t>序号</w:t>
            </w:r>
          </w:p>
        </w:tc>
        <w:tc>
          <w:tcPr>
            <w:tcW w:w="1321"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宋体"/>
                <w:b/>
                <w:szCs w:val="21"/>
              </w:rPr>
            </w:pPr>
            <w:r>
              <w:rPr>
                <w:rFonts w:ascii="宋体" w:hint="eastAsia"/>
                <w:b/>
                <w:szCs w:val="21"/>
              </w:rPr>
              <w:t>名称</w:t>
            </w:r>
          </w:p>
        </w:tc>
        <w:tc>
          <w:tcPr>
            <w:tcW w:w="1417"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宋体"/>
                <w:b/>
                <w:szCs w:val="21"/>
              </w:rPr>
            </w:pPr>
            <w:r>
              <w:rPr>
                <w:rFonts w:ascii="宋体" w:hint="eastAsia"/>
                <w:b/>
                <w:szCs w:val="21"/>
              </w:rPr>
              <w:t>服务范围</w:t>
            </w:r>
          </w:p>
        </w:tc>
        <w:tc>
          <w:tcPr>
            <w:tcW w:w="1418"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宋体"/>
                <w:b/>
                <w:szCs w:val="21"/>
              </w:rPr>
            </w:pPr>
            <w:r>
              <w:rPr>
                <w:rFonts w:ascii="宋体" w:hint="eastAsia"/>
                <w:b/>
                <w:szCs w:val="21"/>
              </w:rPr>
              <w:t>服务要求</w:t>
            </w:r>
          </w:p>
        </w:tc>
        <w:tc>
          <w:tcPr>
            <w:tcW w:w="1275"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宋体"/>
                <w:b/>
                <w:szCs w:val="21"/>
              </w:rPr>
            </w:pPr>
            <w:r>
              <w:rPr>
                <w:rFonts w:ascii="宋体" w:hint="eastAsia"/>
                <w:b/>
                <w:szCs w:val="21"/>
              </w:rPr>
              <w:t>服务时间</w:t>
            </w:r>
          </w:p>
        </w:tc>
        <w:tc>
          <w:tcPr>
            <w:tcW w:w="1276"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宋体"/>
                <w:b/>
                <w:szCs w:val="21"/>
              </w:rPr>
            </w:pPr>
            <w:r>
              <w:rPr>
                <w:rFonts w:ascii="宋体" w:hint="eastAsia"/>
                <w:b/>
                <w:szCs w:val="21"/>
              </w:rPr>
              <w:t>服务标准</w:t>
            </w:r>
          </w:p>
        </w:tc>
        <w:tc>
          <w:tcPr>
            <w:tcW w:w="851"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宋体"/>
                <w:b/>
                <w:szCs w:val="21"/>
              </w:rPr>
            </w:pPr>
            <w:r>
              <w:rPr>
                <w:rFonts w:ascii="宋体" w:hint="eastAsia"/>
                <w:b/>
                <w:szCs w:val="21"/>
              </w:rPr>
              <w:t>金额</w:t>
            </w:r>
          </w:p>
        </w:tc>
        <w:tc>
          <w:tcPr>
            <w:tcW w:w="1151"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ind w:firstLineChars="50" w:firstLine="105"/>
              <w:jc w:val="center"/>
              <w:rPr>
                <w:rFonts w:ascii="宋体"/>
                <w:b/>
                <w:szCs w:val="21"/>
              </w:rPr>
            </w:pPr>
            <w:r>
              <w:rPr>
                <w:rFonts w:ascii="宋体" w:hint="eastAsia"/>
                <w:b/>
                <w:szCs w:val="21"/>
              </w:rPr>
              <w:t>备注</w:t>
            </w:r>
          </w:p>
        </w:tc>
      </w:tr>
      <w:tr>
        <w:trPr>
          <w:cantSplit/>
          <w:trHeight w:val="479"/>
        </w:trPr>
        <w:tc>
          <w:tcPr>
            <w:tcW w:w="971"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仿宋_GB2312" w:eastAsia="仿宋_GB2312"/>
                <w:sz w:val="24"/>
              </w:rPr>
            </w:pPr>
            <w:r>
              <w:rPr>
                <w:rFonts w:ascii="仿宋_GB2312" w:eastAsia="仿宋_GB2312" w:hint="eastAsia"/>
                <w:sz w:val="24"/>
              </w:rPr>
              <w:t>1</w:t>
            </w:r>
          </w:p>
        </w:tc>
        <w:tc>
          <w:tcPr>
            <w:tcW w:w="1321"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仿宋_GB2312" w:eastAsia="仿宋_GB2312"/>
                <w:sz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仿宋_GB2312" w:eastAsia="仿宋_GB2312"/>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仿宋_GB2312" w:eastAsia="仿宋_GB2312"/>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仿宋_GB2312" w:eastAsia="仿宋_GB2312"/>
                <w:sz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仿宋_GB2312" w:eastAsia="仿宋_GB2312"/>
                <w:sz w:val="24"/>
              </w:rPr>
            </w:pPr>
          </w:p>
        </w:tc>
        <w:tc>
          <w:tcPr>
            <w:tcW w:w="851"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仿宋_GB2312" w:eastAsia="仿宋_GB2312"/>
                <w:sz w:val="24"/>
              </w:rPr>
            </w:pPr>
          </w:p>
        </w:tc>
        <w:tc>
          <w:tcPr>
            <w:tcW w:w="1151"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仿宋_GB2312" w:eastAsia="仿宋_GB2312"/>
                <w:sz w:val="24"/>
              </w:rPr>
            </w:pPr>
          </w:p>
        </w:tc>
      </w:tr>
      <w:tr>
        <w:trPr>
          <w:cantSplit/>
          <w:trHeight w:val="502"/>
        </w:trPr>
        <w:tc>
          <w:tcPr>
            <w:tcW w:w="971"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仿宋_GB2312" w:eastAsia="仿宋_GB2312"/>
                <w:sz w:val="24"/>
              </w:rPr>
            </w:pPr>
            <w:r>
              <w:rPr>
                <w:rFonts w:ascii="仿宋_GB2312" w:eastAsia="仿宋_GB2312" w:hint="eastAsia"/>
                <w:sz w:val="24"/>
              </w:rPr>
              <w:t>2</w:t>
            </w:r>
          </w:p>
        </w:tc>
        <w:tc>
          <w:tcPr>
            <w:tcW w:w="1321"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仿宋_GB2312" w:eastAsia="仿宋_GB2312"/>
                <w:sz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仿宋_GB2312" w:eastAsia="仿宋_GB2312"/>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仿宋_GB2312" w:eastAsia="仿宋_GB2312"/>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仿宋_GB2312" w:eastAsia="仿宋_GB2312"/>
                <w:sz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仿宋_GB2312" w:eastAsia="仿宋_GB2312"/>
                <w:sz w:val="24"/>
              </w:rPr>
            </w:pPr>
          </w:p>
        </w:tc>
        <w:tc>
          <w:tcPr>
            <w:tcW w:w="851"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仿宋_GB2312" w:eastAsia="仿宋_GB2312"/>
                <w:sz w:val="24"/>
              </w:rPr>
            </w:pPr>
          </w:p>
        </w:tc>
        <w:tc>
          <w:tcPr>
            <w:tcW w:w="1151"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仿宋_GB2312" w:eastAsia="仿宋_GB2312"/>
                <w:sz w:val="24"/>
              </w:rPr>
            </w:pPr>
          </w:p>
        </w:tc>
      </w:tr>
      <w:tr>
        <w:trPr>
          <w:cantSplit/>
          <w:trHeight w:val="513"/>
        </w:trPr>
        <w:tc>
          <w:tcPr>
            <w:tcW w:w="971"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仿宋_GB2312" w:eastAsia="仿宋_GB2312"/>
                <w:sz w:val="24"/>
              </w:rPr>
            </w:pPr>
            <w:r>
              <w:rPr>
                <w:rFonts w:ascii="仿宋_GB2312" w:eastAsia="仿宋_GB2312" w:hint="eastAsia"/>
                <w:sz w:val="24"/>
              </w:rPr>
              <w:t>3</w:t>
            </w:r>
          </w:p>
        </w:tc>
        <w:tc>
          <w:tcPr>
            <w:tcW w:w="1321"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仿宋_GB2312" w:eastAsia="仿宋_GB2312"/>
                <w:sz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仿宋_GB2312" w:eastAsia="仿宋_GB2312"/>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仿宋_GB2312" w:eastAsia="仿宋_GB2312"/>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仿宋_GB2312" w:eastAsia="仿宋_GB2312"/>
                <w:sz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仿宋_GB2312" w:eastAsia="仿宋_GB2312"/>
                <w:sz w:val="24"/>
              </w:rPr>
            </w:pPr>
          </w:p>
        </w:tc>
        <w:tc>
          <w:tcPr>
            <w:tcW w:w="851"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仿宋_GB2312" w:eastAsia="仿宋_GB2312"/>
                <w:sz w:val="24"/>
              </w:rPr>
            </w:pPr>
          </w:p>
        </w:tc>
        <w:tc>
          <w:tcPr>
            <w:tcW w:w="1151"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仿宋_GB2312" w:eastAsia="仿宋_GB2312"/>
                <w:sz w:val="24"/>
              </w:rPr>
            </w:pPr>
          </w:p>
        </w:tc>
      </w:tr>
      <w:tr>
        <w:trPr>
          <w:cantSplit/>
          <w:trHeight w:val="513"/>
        </w:trPr>
        <w:tc>
          <w:tcPr>
            <w:tcW w:w="971"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仿宋_GB2312" w:eastAsia="仿宋_GB2312"/>
                <w:sz w:val="24"/>
              </w:rPr>
            </w:pPr>
            <w:r>
              <w:rPr>
                <w:rFonts w:ascii="仿宋_GB2312" w:eastAsia="仿宋_GB2312" w:hint="eastAsia"/>
                <w:sz w:val="24"/>
              </w:rPr>
              <w:t>4</w:t>
            </w:r>
          </w:p>
        </w:tc>
        <w:tc>
          <w:tcPr>
            <w:tcW w:w="1321"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仿宋_GB2312" w:eastAsia="仿宋_GB2312"/>
                <w:sz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仿宋_GB2312" w:eastAsia="仿宋_GB2312"/>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仿宋_GB2312" w:eastAsia="仿宋_GB2312"/>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仿宋_GB2312" w:eastAsia="仿宋_GB2312"/>
                <w:sz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仿宋_GB2312" w:eastAsia="仿宋_GB2312"/>
                <w:sz w:val="24"/>
              </w:rPr>
            </w:pPr>
          </w:p>
        </w:tc>
        <w:tc>
          <w:tcPr>
            <w:tcW w:w="851"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仿宋_GB2312" w:eastAsia="仿宋_GB2312"/>
                <w:sz w:val="24"/>
              </w:rPr>
            </w:pPr>
          </w:p>
        </w:tc>
        <w:tc>
          <w:tcPr>
            <w:tcW w:w="1151"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仿宋_GB2312" w:eastAsia="仿宋_GB2312"/>
                <w:sz w:val="24"/>
              </w:rPr>
            </w:pPr>
          </w:p>
        </w:tc>
      </w:tr>
      <w:tr>
        <w:trPr>
          <w:cantSplit/>
          <w:trHeight w:val="513"/>
        </w:trPr>
        <w:tc>
          <w:tcPr>
            <w:tcW w:w="971"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仿宋_GB2312" w:eastAsia="仿宋_GB2312"/>
                <w:sz w:val="24"/>
              </w:rPr>
            </w:pPr>
          </w:p>
        </w:tc>
        <w:tc>
          <w:tcPr>
            <w:tcW w:w="1321"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仿宋_GB2312" w:eastAsia="仿宋_GB2312"/>
                <w:sz w:val="24"/>
              </w:rPr>
            </w:pPr>
          </w:p>
        </w:tc>
        <w:tc>
          <w:tcPr>
            <w:tcW w:w="1417"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仿宋_GB2312" w:eastAsia="仿宋_GB2312"/>
                <w:sz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仿宋_GB2312" w:eastAsia="仿宋_GB2312"/>
                <w:sz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仿宋_GB2312" w:eastAsia="仿宋_GB2312"/>
                <w:sz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仿宋_GB2312" w:eastAsia="仿宋_GB2312"/>
                <w:sz w:val="24"/>
              </w:rPr>
            </w:pPr>
          </w:p>
        </w:tc>
        <w:tc>
          <w:tcPr>
            <w:tcW w:w="851"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仿宋_GB2312" w:eastAsia="仿宋_GB2312"/>
                <w:sz w:val="24"/>
              </w:rPr>
            </w:pPr>
          </w:p>
        </w:tc>
        <w:tc>
          <w:tcPr>
            <w:tcW w:w="1151"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仿宋_GB2312" w:eastAsia="仿宋_GB2312"/>
                <w:sz w:val="24"/>
              </w:rPr>
            </w:pPr>
          </w:p>
        </w:tc>
      </w:tr>
      <w:tr>
        <w:trPr>
          <w:cantSplit/>
          <w:trHeight w:val="419"/>
        </w:trPr>
        <w:tc>
          <w:tcPr>
            <w:tcW w:w="971" w:type="dxa"/>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仿宋_GB2312" w:eastAsia="仿宋_GB2312"/>
                <w:sz w:val="24"/>
              </w:rPr>
            </w:pPr>
            <w:r>
              <w:rPr>
                <w:rFonts w:ascii="仿宋_GB2312" w:eastAsia="仿宋_GB2312" w:hint="eastAsia"/>
                <w:sz w:val="24"/>
              </w:rPr>
              <w:t>合计</w:t>
            </w:r>
          </w:p>
        </w:tc>
        <w:tc>
          <w:tcPr>
            <w:tcW w:w="8709" w:type="dxa"/>
            <w:gridSpan w:val="7"/>
            <w:tcBorders>
              <w:top w:val="single" w:sz="4" w:space="0" w:color="auto"/>
              <w:left w:val="single" w:sz="4" w:space="0" w:color="auto"/>
              <w:bottom w:val="single" w:sz="4" w:space="0" w:color="auto"/>
              <w:right w:val="single" w:sz="4" w:space="0" w:color="auto"/>
            </w:tcBorders>
            <w:noWrap/>
            <w:vAlign w:val="center"/>
          </w:tcPr>
          <w:p>
            <w:pPr>
              <w:snapToGrid w:val="0"/>
              <w:spacing w:line="360" w:lineRule="auto"/>
              <w:jc w:val="center"/>
              <w:rPr>
                <w:rFonts w:ascii="仿宋_GB2312" w:eastAsia="仿宋_GB2312"/>
                <w:sz w:val="24"/>
              </w:rPr>
            </w:pPr>
          </w:p>
        </w:tc>
      </w:tr>
    </w:tbl>
    <w:p>
      <w:pPr>
        <w:spacing w:line="300" w:lineRule="auto"/>
        <w:jc w:val="left"/>
        <w:outlineLvl w:val="0"/>
        <w:rPr>
          <w:rFonts w:ascii="宋体" w:cs="宋体"/>
          <w:kern w:val="0"/>
          <w:sz w:val="32"/>
          <w:szCs w:val="32"/>
        </w:rPr>
      </w:pPr>
      <w:r>
        <w:rPr>
          <w:rFonts w:ascii="宋体" w:cs="宋体" w:hint="eastAsia"/>
          <w:sz w:val="32"/>
          <w:szCs w:val="32"/>
        </w:rPr>
        <w:br w:type="page"/>
      </w:r>
      <w:r>
        <w:rPr>
          <w:rFonts w:ascii="宋体" w:cs="宋体" w:hint="eastAsia"/>
          <w:kern w:val="0"/>
          <w:sz w:val="32"/>
          <w:szCs w:val="32"/>
        </w:rPr>
        <w:t>附件8</w:t>
      </w:r>
    </w:p>
    <w:p>
      <w:pPr>
        <w:spacing w:line="300" w:lineRule="auto"/>
        <w:jc w:val="center"/>
        <w:outlineLvl w:val="0"/>
        <w:rPr>
          <w:b/>
          <w:bCs/>
          <w:sz w:val="28"/>
          <w:szCs w:val="28"/>
          <w:lang w:bidi="zh-CN"/>
        </w:rPr>
      </w:pPr>
      <w:r>
        <w:rPr>
          <w:rFonts w:hint="eastAsia"/>
          <w:b/>
          <w:bCs/>
          <w:sz w:val="28"/>
          <w:szCs w:val="28"/>
          <w:lang w:bidi="zh-CN"/>
        </w:rPr>
        <w:t>中小</w:t>
      </w:r>
      <w:r>
        <w:rPr>
          <w:b/>
          <w:bCs/>
          <w:sz w:val="28"/>
          <w:szCs w:val="28"/>
          <w:lang w:bidi="zh-CN"/>
        </w:rPr>
        <w:t>企业声明函（服务）</w:t>
      </w:r>
    </w:p>
    <w:p>
      <w:pPr>
        <w:spacing w:line="360" w:lineRule="auto"/>
        <w:ind w:firstLine="560"/>
        <w:outlineLvl w:val="0"/>
        <w:rPr>
          <w:sz w:val="28"/>
          <w:szCs w:val="28"/>
          <w:lang w:bidi="zh-CN"/>
        </w:rPr>
      </w:pPr>
      <w:r>
        <w:rPr>
          <w:sz w:val="28"/>
          <w:szCs w:val="28"/>
          <w:lang w:bidi="zh-CN"/>
        </w:rPr>
        <w:t>本公司郑重声明，根据《政府采购促进中小企业发展管理办法》（财库﹝2020﹞46 号）的规定，本公司参加</w:t>
      </w:r>
      <w:r>
        <w:rPr>
          <w:sz w:val="28"/>
          <w:szCs w:val="28"/>
          <w:u w:val="single"/>
          <w:lang w:bidi="zh-CN"/>
        </w:rPr>
        <w:t>（单位名称）</w:t>
      </w:r>
      <w:r>
        <w:rPr>
          <w:sz w:val="28"/>
          <w:szCs w:val="28"/>
          <w:lang w:bidi="zh-CN"/>
        </w:rPr>
        <w:t>的</w:t>
      </w:r>
      <w:r>
        <w:rPr>
          <w:sz w:val="28"/>
          <w:szCs w:val="28"/>
          <w:u w:val="single"/>
          <w:lang w:bidi="zh-CN"/>
        </w:rPr>
        <w:t>（项目名称）</w:t>
      </w:r>
      <w:r>
        <w:rPr>
          <w:sz w:val="28"/>
          <w:szCs w:val="28"/>
          <w:lang w:bidi="zh-CN"/>
        </w:rPr>
        <w:t>采购活动，服务全部由符合政策要求的</w:t>
      </w:r>
      <w:r>
        <w:rPr>
          <w:rFonts w:hint="eastAsia"/>
          <w:sz w:val="28"/>
          <w:szCs w:val="28"/>
          <w:lang w:bidi="zh-CN"/>
        </w:rPr>
        <w:t>小微</w:t>
      </w:r>
      <w:r>
        <w:rPr>
          <w:sz w:val="28"/>
          <w:szCs w:val="28"/>
          <w:lang w:bidi="zh-CN"/>
        </w:rPr>
        <w:t>企业承接。相关企业的具体情况如下：</w:t>
      </w:r>
    </w:p>
    <w:p>
      <w:pPr>
        <w:spacing w:line="360" w:lineRule="auto"/>
        <w:jc w:val="left"/>
        <w:outlineLvl w:val="0"/>
        <w:rPr>
          <w:sz w:val="28"/>
          <w:szCs w:val="28"/>
          <w:lang w:bidi="zh-CN"/>
        </w:rPr>
      </w:pPr>
      <w:r>
        <w:rPr>
          <w:sz w:val="28"/>
          <w:szCs w:val="28"/>
          <w:lang w:bidi="zh-CN"/>
        </w:rPr>
        <w:t>1.</w:t>
      </w:r>
      <w:r>
        <w:rPr>
          <w:sz w:val="28"/>
          <w:szCs w:val="28"/>
          <w:u w:val="single"/>
          <w:lang w:bidi="zh-CN"/>
        </w:rPr>
        <w:t>（标的名称）</w:t>
      </w:r>
      <w:r>
        <w:rPr>
          <w:rFonts w:hint="eastAsia"/>
          <w:sz w:val="28"/>
          <w:szCs w:val="28"/>
          <w:u w:val="single"/>
          <w:lang w:val="en-US" w:bidi="zh-CN"/>
        </w:rPr>
        <w:t xml:space="preserve">   </w:t>
      </w:r>
      <w:r>
        <w:rPr>
          <w:sz w:val="28"/>
          <w:szCs w:val="28"/>
          <w:lang w:bidi="zh-CN"/>
        </w:rPr>
        <w:t>，属于</w:t>
      </w:r>
      <w:r>
        <w:rPr>
          <w:rFonts w:hint="eastAsia"/>
          <w:sz w:val="28"/>
          <w:szCs w:val="28"/>
          <w:u w:val="single"/>
          <w:lang w:val="en-US" w:bidi="zh-CN"/>
        </w:rPr>
        <w:t xml:space="preserve">     </w:t>
      </w:r>
      <w:r>
        <w:rPr>
          <w:sz w:val="28"/>
          <w:szCs w:val="28"/>
          <w:u w:val="single"/>
          <w:lang w:bidi="zh-CN"/>
        </w:rPr>
        <w:t>（采购文件中明确的所属行业）</w:t>
      </w:r>
      <w:r>
        <w:rPr>
          <w:sz w:val="28"/>
          <w:szCs w:val="28"/>
          <w:lang w:bidi="zh-CN"/>
        </w:rPr>
        <w:t>；承建（承接）企业为</w:t>
      </w:r>
      <w:r>
        <w:rPr>
          <w:rFonts w:hint="eastAsia"/>
          <w:sz w:val="28"/>
          <w:szCs w:val="28"/>
          <w:u w:val="single"/>
          <w:lang w:val="en-US" w:bidi="zh-CN"/>
        </w:rPr>
        <w:t xml:space="preserve">   </w:t>
      </w:r>
      <w:r>
        <w:rPr>
          <w:sz w:val="28"/>
          <w:szCs w:val="28"/>
          <w:u w:val="single"/>
          <w:lang w:bidi="zh-CN"/>
        </w:rPr>
        <w:t>（企业名称）</w:t>
      </w:r>
      <w:r>
        <w:rPr>
          <w:sz w:val="28"/>
          <w:szCs w:val="28"/>
          <w:lang w:bidi="zh-CN"/>
        </w:rPr>
        <w:t>，从业人员</w:t>
      </w:r>
      <w:r>
        <w:rPr>
          <w:rFonts w:hint="eastAsia"/>
          <w:sz w:val="28"/>
          <w:szCs w:val="28"/>
          <w:u w:val="single"/>
          <w:lang w:val="en-US" w:bidi="zh-CN"/>
        </w:rPr>
        <w:t xml:space="preserve">      </w:t>
      </w:r>
      <w:r>
        <w:rPr>
          <w:sz w:val="28"/>
          <w:szCs w:val="28"/>
          <w:u w:val="single"/>
          <w:lang w:bidi="zh-CN"/>
        </w:rPr>
        <w:tab/>
      </w:r>
      <w:r>
        <w:rPr>
          <w:sz w:val="28"/>
          <w:szCs w:val="28"/>
          <w:lang w:bidi="zh-CN"/>
        </w:rPr>
        <w:t>人，营业收入为</w:t>
      </w:r>
      <w:r>
        <w:rPr>
          <w:sz w:val="28"/>
          <w:szCs w:val="28"/>
          <w:u w:val="single"/>
          <w:lang w:bidi="zh-CN"/>
        </w:rPr>
        <w:tab/>
      </w:r>
      <w:r>
        <w:rPr>
          <w:rFonts w:hint="eastAsia"/>
          <w:sz w:val="28"/>
          <w:szCs w:val="28"/>
          <w:u w:val="single"/>
          <w:lang w:val="en-US" w:bidi="zh-CN"/>
        </w:rPr>
        <w:t xml:space="preserve">  </w:t>
      </w:r>
      <w:r>
        <w:rPr>
          <w:sz w:val="28"/>
          <w:szCs w:val="28"/>
          <w:lang w:bidi="zh-CN"/>
        </w:rPr>
        <w:t>万元，资产总额为</w:t>
      </w:r>
      <w:r>
        <w:rPr>
          <w:sz w:val="28"/>
          <w:szCs w:val="28"/>
          <w:u w:val="single"/>
          <w:lang w:bidi="zh-CN"/>
        </w:rPr>
        <w:tab/>
      </w:r>
      <w:r>
        <w:rPr>
          <w:sz w:val="28"/>
          <w:szCs w:val="28"/>
          <w:lang w:bidi="zh-CN"/>
        </w:rPr>
        <w:t>万元，属于</w:t>
      </w:r>
      <w:r>
        <w:rPr>
          <w:rFonts w:hint="eastAsia"/>
          <w:sz w:val="28"/>
          <w:szCs w:val="28"/>
          <w:u w:val="single"/>
          <w:lang w:val="en-US" w:bidi="zh-CN"/>
        </w:rPr>
        <w:t xml:space="preserve">          </w:t>
      </w:r>
      <w:r>
        <w:rPr>
          <w:sz w:val="28"/>
          <w:szCs w:val="28"/>
          <w:u w:val="single"/>
          <w:lang w:bidi="zh-CN"/>
        </w:rPr>
        <w:t>（</w:t>
      </w:r>
      <w:r>
        <w:rPr>
          <w:rFonts w:hint="eastAsia"/>
          <w:sz w:val="28"/>
          <w:szCs w:val="28"/>
          <w:u w:val="single"/>
          <w:lang w:bidi="zh-CN"/>
        </w:rPr>
        <w:t>中型企业、</w:t>
      </w:r>
      <w:r>
        <w:rPr>
          <w:sz w:val="28"/>
          <w:szCs w:val="28"/>
          <w:u w:val="single"/>
          <w:lang w:bidi="zh-CN"/>
        </w:rPr>
        <w:t>小型企业、微型企业）</w:t>
      </w:r>
      <w:r>
        <w:rPr>
          <w:sz w:val="28"/>
          <w:szCs w:val="28"/>
          <w:lang w:bidi="zh-CN"/>
        </w:rPr>
        <w:t>；</w:t>
      </w:r>
    </w:p>
    <w:p>
      <w:pPr>
        <w:spacing w:line="360" w:lineRule="auto"/>
        <w:ind w:firstLine="560"/>
        <w:outlineLvl w:val="0"/>
        <w:rPr>
          <w:sz w:val="28"/>
          <w:szCs w:val="28"/>
          <w:lang w:bidi="zh-CN"/>
        </w:rPr>
      </w:pPr>
    </w:p>
    <w:p>
      <w:pPr>
        <w:spacing w:line="360" w:lineRule="auto"/>
        <w:ind w:firstLine="560"/>
        <w:outlineLvl w:val="0"/>
        <w:rPr>
          <w:sz w:val="28"/>
          <w:szCs w:val="28"/>
          <w:lang w:bidi="zh-CN"/>
        </w:rPr>
      </w:pPr>
      <w:r>
        <w:rPr>
          <w:sz w:val="28"/>
          <w:szCs w:val="28"/>
          <w:lang w:bidi="zh-CN"/>
        </w:rPr>
        <w:t>以上企业，不属于大企业的分支机构，不存在控股股东为大企业的情形，也不存在与大企业的负责人为同一人的情形。</w:t>
      </w:r>
    </w:p>
    <w:p>
      <w:pPr>
        <w:spacing w:line="360" w:lineRule="auto"/>
        <w:ind w:firstLine="560"/>
        <w:outlineLvl w:val="0"/>
        <w:rPr>
          <w:sz w:val="28"/>
          <w:szCs w:val="28"/>
          <w:lang w:bidi="zh-CN"/>
        </w:rPr>
      </w:pPr>
      <w:r>
        <w:rPr>
          <w:sz w:val="28"/>
          <w:szCs w:val="28"/>
          <w:lang w:bidi="zh-CN"/>
        </w:rPr>
        <w:t>本企业对上述声明内容的真实性负责。如有虚假，将依法承担相应责任。</w:t>
      </w:r>
    </w:p>
    <w:p>
      <w:pPr>
        <w:spacing w:line="300" w:lineRule="auto"/>
        <w:outlineLvl w:val="0"/>
        <w:rPr>
          <w:sz w:val="28"/>
          <w:szCs w:val="28"/>
          <w:lang w:bidi="zh-CN"/>
        </w:rPr>
      </w:pPr>
    </w:p>
    <w:p>
      <w:pPr>
        <w:spacing w:line="300" w:lineRule="auto"/>
        <w:outlineLvl w:val="0"/>
        <w:rPr>
          <w:sz w:val="28"/>
          <w:szCs w:val="28"/>
          <w:lang w:bidi="zh-CN"/>
        </w:rPr>
      </w:pPr>
    </w:p>
    <w:p>
      <w:pPr>
        <w:spacing w:line="300" w:lineRule="auto"/>
        <w:outlineLvl w:val="0"/>
        <w:rPr>
          <w:sz w:val="28"/>
          <w:szCs w:val="28"/>
          <w:lang w:bidi="zh-CN"/>
        </w:rPr>
      </w:pPr>
    </w:p>
    <w:p>
      <w:pPr>
        <w:spacing w:line="300" w:lineRule="auto"/>
        <w:outlineLvl w:val="0"/>
        <w:rPr>
          <w:sz w:val="28"/>
          <w:szCs w:val="28"/>
          <w:lang w:bidi="zh-CN"/>
        </w:rPr>
      </w:pPr>
    </w:p>
    <w:p>
      <w:pPr>
        <w:spacing w:line="300" w:lineRule="auto"/>
        <w:ind w:firstLine="4900"/>
        <w:outlineLvl w:val="0"/>
        <w:rPr>
          <w:sz w:val="28"/>
          <w:szCs w:val="28"/>
          <w:lang w:bidi="zh-CN"/>
        </w:rPr>
      </w:pPr>
      <w:r>
        <w:rPr>
          <w:sz w:val="28"/>
          <w:szCs w:val="28"/>
          <w:lang w:bidi="zh-CN"/>
        </w:rPr>
        <w:t>企业名称（盖章）：</w:t>
      </w:r>
    </w:p>
    <w:p>
      <w:pPr>
        <w:spacing w:line="300" w:lineRule="auto"/>
        <w:ind w:firstLine="4900"/>
        <w:outlineLvl w:val="0"/>
        <w:rPr>
          <w:sz w:val="28"/>
          <w:szCs w:val="28"/>
          <w:lang w:bidi="zh-CN"/>
        </w:rPr>
      </w:pPr>
      <w:r>
        <w:rPr>
          <w:sz w:val="28"/>
          <w:szCs w:val="28"/>
          <w:lang w:bidi="zh-CN"/>
        </w:rPr>
        <w:t>日期：</w:t>
      </w:r>
    </w:p>
    <w:p>
      <w:pPr>
        <w:spacing w:line="300" w:lineRule="auto"/>
        <w:outlineLvl w:val="0"/>
        <w:rPr>
          <w:sz w:val="28"/>
          <w:szCs w:val="28"/>
        </w:rPr>
      </w:pPr>
    </w:p>
    <w:p>
      <w:pPr>
        <w:pStyle w:val="17"/>
      </w:pPr>
    </w:p>
    <w:p>
      <w:pPr>
        <w:spacing w:line="300" w:lineRule="auto"/>
        <w:outlineLvl w:val="0"/>
        <w:rPr>
          <w:rFonts w:eastAsia="方正黑体_GBK"/>
          <w:sz w:val="32"/>
          <w:szCs w:val="32"/>
        </w:rPr>
      </w:pPr>
    </w:p>
    <w:p>
      <w:pPr>
        <w:spacing w:line="300" w:lineRule="auto"/>
        <w:jc w:val="left"/>
        <w:outlineLvl w:val="0"/>
        <w:rPr>
          <w:sz w:val="32"/>
          <w:szCs w:val="32"/>
        </w:rPr>
      </w:pPr>
      <w:r>
        <w:rPr>
          <w:rFonts w:eastAsia="方正黑体_GBK"/>
          <w:sz w:val="32"/>
          <w:szCs w:val="32"/>
        </w:rPr>
        <w:br w:type="page"/>
      </w:r>
      <w:r>
        <w:rPr>
          <w:rFonts w:ascii="宋体" w:cs="宋体" w:hint="eastAsia"/>
          <w:kern w:val="0"/>
          <w:sz w:val="32"/>
          <w:szCs w:val="32"/>
        </w:rPr>
        <w:t>附件9</w:t>
      </w:r>
    </w:p>
    <w:p>
      <w:pPr>
        <w:spacing w:line="300" w:lineRule="auto"/>
        <w:jc w:val="center"/>
        <w:outlineLvl w:val="0"/>
        <w:rPr>
          <w:b/>
          <w:sz w:val="32"/>
          <w:szCs w:val="32"/>
        </w:rPr>
      </w:pPr>
      <w:r>
        <w:rPr>
          <w:b/>
          <w:sz w:val="32"/>
          <w:szCs w:val="32"/>
        </w:rPr>
        <w:t>残疾人福利性单位声明函</w:t>
      </w:r>
    </w:p>
    <w:p>
      <w:pPr>
        <w:spacing w:line="588" w:lineRule="exact"/>
        <w:ind w:firstLine="560"/>
        <w:rPr>
          <w:sz w:val="28"/>
          <w:szCs w:val="28"/>
        </w:rPr>
      </w:pPr>
      <w:r>
        <w:rPr>
          <w:sz w:val="28"/>
          <w:szCs w:val="28"/>
        </w:rPr>
        <w:t>本单位郑重声明，根据《财政部民政部中国残疾人联合会关于促进残疾人就业政府采购政策的通知》（财库〔2017〕141号）的规定，本单位为符合条件的残疾人福利性单位，且本单位参加______单位的项目编号为______的项目采购活动由本单位提供服务。</w:t>
      </w:r>
    </w:p>
    <w:p>
      <w:pPr>
        <w:spacing w:line="588" w:lineRule="exact"/>
        <w:ind w:firstLine="560"/>
        <w:rPr>
          <w:sz w:val="28"/>
          <w:szCs w:val="28"/>
        </w:rPr>
      </w:pPr>
      <w:r>
        <w:rPr>
          <w:sz w:val="28"/>
          <w:szCs w:val="28"/>
        </w:rPr>
        <w:t>本单位对上述声明的真实性负责。如有虚假，将依法承担相应责任。</w:t>
      </w:r>
    </w:p>
    <w:p>
      <w:pPr>
        <w:spacing w:line="588" w:lineRule="exact"/>
        <w:ind w:firstLine="560"/>
        <w:rPr>
          <w:sz w:val="28"/>
          <w:szCs w:val="28"/>
        </w:rPr>
      </w:pPr>
      <w:r>
        <w:rPr>
          <w:sz w:val="28"/>
          <w:szCs w:val="28"/>
        </w:rPr>
        <w:t>（备注：1、供应商如不提供此声明函，价格将不做相应扣除。2、中标供应商为残疾人福利单位的，此声明函将随中标结果同时公告，接受社会监督）</w:t>
      </w:r>
    </w:p>
    <w:p>
      <w:pPr>
        <w:spacing w:line="588" w:lineRule="exact"/>
        <w:ind w:firstLine="584"/>
        <w:rPr>
          <w:rFonts w:eastAsia="仿宋_GB2312"/>
          <w:spacing w:val="6"/>
          <w:sz w:val="28"/>
          <w:szCs w:val="28"/>
        </w:rPr>
      </w:pPr>
    </w:p>
    <w:p>
      <w:pPr>
        <w:spacing w:line="588" w:lineRule="exact"/>
        <w:ind w:firstLine="584"/>
        <w:rPr>
          <w:rFonts w:eastAsia="仿宋_GB2312"/>
          <w:spacing w:val="6"/>
          <w:sz w:val="28"/>
          <w:szCs w:val="28"/>
        </w:rPr>
      </w:pPr>
    </w:p>
    <w:p>
      <w:pPr>
        <w:spacing w:line="588" w:lineRule="exact"/>
        <w:ind w:firstLine="584"/>
        <w:rPr>
          <w:rFonts w:eastAsia="仿宋_GB2312"/>
          <w:spacing w:val="6"/>
          <w:sz w:val="28"/>
          <w:szCs w:val="28"/>
        </w:rPr>
      </w:pPr>
    </w:p>
    <w:p>
      <w:pPr>
        <w:spacing w:line="588" w:lineRule="exact"/>
        <w:ind w:firstLine="584"/>
        <w:rPr>
          <w:rFonts w:eastAsia="仿宋_GB2312"/>
          <w:spacing w:val="6"/>
          <w:sz w:val="28"/>
          <w:szCs w:val="28"/>
        </w:rPr>
      </w:pPr>
    </w:p>
    <w:p>
      <w:pPr>
        <w:tabs>
          <w:tab w:val="left" w:pos="4860"/>
        </w:tabs>
        <w:spacing w:line="588" w:lineRule="exact"/>
        <w:ind w:right="1560" w:firstLine="584"/>
        <w:jc w:val="center"/>
        <w:rPr>
          <w:sz w:val="28"/>
          <w:szCs w:val="28"/>
        </w:rPr>
      </w:pPr>
      <w:r>
        <w:rPr>
          <w:sz w:val="28"/>
          <w:szCs w:val="28"/>
        </w:rPr>
        <w:t>供应商全称（盖章）：</w:t>
      </w:r>
    </w:p>
    <w:p>
      <w:pPr>
        <w:tabs>
          <w:tab w:val="left" w:pos="4860"/>
        </w:tabs>
        <w:spacing w:line="588" w:lineRule="exact"/>
        <w:ind w:right="1560" w:firstLine="560"/>
        <w:jc w:val="center"/>
        <w:rPr>
          <w:sz w:val="28"/>
          <w:szCs w:val="28"/>
        </w:rPr>
      </w:pPr>
      <w:r>
        <w:rPr>
          <w:sz w:val="28"/>
          <w:szCs w:val="28"/>
        </w:rPr>
        <w:t>日期：</w:t>
      </w:r>
    </w:p>
    <w:p>
      <w:pPr>
        <w:rPr>
          <w:rFonts w:eastAsia="仿宋_GB2312"/>
          <w:sz w:val="28"/>
          <w:szCs w:val="28"/>
        </w:rPr>
      </w:pPr>
    </w:p>
    <w:p>
      <w:pPr>
        <w:spacing w:line="300" w:lineRule="auto"/>
        <w:outlineLvl w:val="0"/>
        <w:rPr>
          <w:sz w:val="28"/>
          <w:szCs w:val="28"/>
        </w:rPr>
      </w:pPr>
    </w:p>
    <w:p>
      <w:pPr>
        <w:spacing w:line="300" w:lineRule="auto"/>
        <w:outlineLvl w:val="0"/>
        <w:rPr>
          <w:sz w:val="28"/>
          <w:szCs w:val="28"/>
        </w:rPr>
      </w:pPr>
    </w:p>
    <w:p>
      <w:pPr>
        <w:spacing w:line="300" w:lineRule="auto"/>
        <w:outlineLvl w:val="0"/>
        <w:rPr>
          <w:sz w:val="28"/>
          <w:szCs w:val="28"/>
        </w:rPr>
      </w:pPr>
    </w:p>
    <w:p>
      <w:pPr>
        <w:spacing w:line="300" w:lineRule="auto"/>
        <w:outlineLvl w:val="0"/>
        <w:rPr>
          <w:sz w:val="28"/>
          <w:szCs w:val="28"/>
        </w:rPr>
      </w:pPr>
    </w:p>
    <w:p>
      <w:pPr>
        <w:spacing w:line="300" w:lineRule="auto"/>
        <w:outlineLvl w:val="0"/>
        <w:rPr>
          <w:sz w:val="32"/>
          <w:szCs w:val="32"/>
        </w:rPr>
      </w:pPr>
      <w:r>
        <w:rPr>
          <w:rFonts w:eastAsia="方正黑体_GBK"/>
          <w:sz w:val="32"/>
          <w:szCs w:val="32"/>
        </w:rPr>
        <w:br w:type="page"/>
      </w:r>
      <w:r>
        <w:rPr>
          <w:rFonts w:ascii="宋体" w:cs="宋体" w:hint="eastAsia"/>
          <w:kern w:val="0"/>
          <w:sz w:val="32"/>
          <w:szCs w:val="32"/>
        </w:rPr>
        <w:t>附件10</w:t>
      </w:r>
    </w:p>
    <w:p>
      <w:pPr>
        <w:spacing w:line="300" w:lineRule="auto"/>
        <w:jc w:val="center"/>
        <w:outlineLvl w:val="0"/>
        <w:rPr>
          <w:b/>
          <w:bCs/>
          <w:sz w:val="32"/>
          <w:szCs w:val="32"/>
        </w:rPr>
      </w:pPr>
      <w:r>
        <w:rPr>
          <w:b/>
          <w:bCs/>
          <w:sz w:val="32"/>
          <w:szCs w:val="32"/>
        </w:rPr>
        <w:t>监狱和戒毒企业证明材料</w:t>
      </w:r>
    </w:p>
    <w:p>
      <w:pPr>
        <w:spacing w:line="420" w:lineRule="exact"/>
        <w:ind w:firstLine="496"/>
        <w:rPr>
          <w:sz w:val="28"/>
          <w:szCs w:val="28"/>
        </w:rPr>
      </w:pPr>
    </w:p>
    <w:p>
      <w:pPr>
        <w:spacing w:line="420" w:lineRule="exact"/>
        <w:ind w:firstLine="498"/>
        <w:rPr>
          <w:b/>
          <w:sz w:val="28"/>
          <w:szCs w:val="28"/>
        </w:rPr>
      </w:pPr>
      <w:r>
        <w:rPr>
          <w:b/>
          <w:sz w:val="28"/>
          <w:szCs w:val="28"/>
        </w:rPr>
        <w:t>（格式自拟）</w:t>
      </w:r>
    </w:p>
    <w:p>
      <w:pPr>
        <w:spacing w:line="420" w:lineRule="exact"/>
        <w:ind w:firstLine="496"/>
        <w:rPr>
          <w:sz w:val="28"/>
          <w:szCs w:val="28"/>
        </w:rPr>
      </w:pPr>
    </w:p>
    <w:p>
      <w:pPr>
        <w:spacing w:line="420" w:lineRule="exact"/>
        <w:ind w:firstLine="661"/>
        <w:rPr>
          <w:sz w:val="28"/>
          <w:szCs w:val="28"/>
        </w:rPr>
      </w:pPr>
      <w:r>
        <w:rPr>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pPr>
        <w:pStyle w:val="21"/>
        <w:rPr>
          <w:rFonts w:ascii="宋体" w:cs="宋体"/>
        </w:rPr>
      </w:pPr>
    </w:p>
    <w:p>
      <w:pPr>
        <w:spacing w:line="420" w:lineRule="exact"/>
        <w:ind w:firstLineChars="235" w:firstLine="755"/>
        <w:rPr>
          <w:rFonts w:ascii="宋体" w:cs="宋体"/>
          <w:sz w:val="32"/>
          <w:szCs w:val="32"/>
        </w:rPr>
      </w:pPr>
    </w:p>
    <w:p>
      <w:pPr>
        <w:snapToGrid w:val="0"/>
        <w:spacing w:line="360" w:lineRule="auto"/>
        <w:jc w:val="left"/>
        <w:rPr>
          <w:rFonts w:ascii="宋体" w:cs="宋体"/>
          <w:sz w:val="32"/>
          <w:szCs w:val="32"/>
        </w:rPr>
      </w:pPr>
      <w:r>
        <w:rPr>
          <w:rFonts w:ascii="宋体" w:cs="宋体" w:hint="eastAsia"/>
          <w:sz w:val="32"/>
          <w:szCs w:val="32"/>
        </w:rPr>
        <w:br w:type="page"/>
        <w:t>附件11</w:t>
      </w:r>
    </w:p>
    <w:p>
      <w:pPr>
        <w:spacing w:before="240" w:line="360" w:lineRule="auto"/>
        <w:jc w:val="center"/>
        <w:rPr>
          <w:rFonts w:ascii="宋体" w:cs="宋体"/>
          <w:b/>
          <w:sz w:val="32"/>
          <w:szCs w:val="32"/>
        </w:rPr>
      </w:pPr>
      <w:r>
        <w:rPr>
          <w:rFonts w:ascii="宋体" w:cs="宋体" w:hint="eastAsia"/>
          <w:b/>
          <w:sz w:val="32"/>
          <w:szCs w:val="32"/>
        </w:rPr>
        <w:t>供应商信用承诺书</w:t>
      </w:r>
    </w:p>
    <w:p>
      <w:pPr>
        <w:spacing w:line="360" w:lineRule="auto"/>
        <w:ind w:firstLineChars="200" w:firstLine="480"/>
        <w:rPr>
          <w:rFonts w:ascii="宋体" w:cs="宋体"/>
          <w:kern w:val="0"/>
          <w:sz w:val="24"/>
          <w:lang w:val="zh-CN"/>
        </w:rPr>
      </w:pPr>
      <w:r>
        <w:rPr>
          <w:rFonts w:ascii="宋体" w:cs="宋体" w:hint="eastAsia"/>
          <w:kern w:val="0"/>
          <w:sz w:val="24"/>
          <w:lang w:val="zh-CN"/>
        </w:rPr>
        <w:t>为营造公开、公平、公正的公共资源交易环境，树立诚信守法的投标人形象，本人代表本单位作出以下承诺：</w:t>
      </w:r>
    </w:p>
    <w:p>
      <w:pPr>
        <w:spacing w:line="360" w:lineRule="auto"/>
        <w:ind w:firstLineChars="200" w:firstLine="480"/>
        <w:rPr>
          <w:rFonts w:ascii="宋体" w:cs="宋体"/>
          <w:kern w:val="0"/>
          <w:sz w:val="24"/>
          <w:lang w:val="zh-CN"/>
        </w:rPr>
      </w:pPr>
      <w:r>
        <w:rPr>
          <w:rFonts w:ascii="宋体" w:cs="宋体" w:hint="eastAsia"/>
          <w:kern w:val="0"/>
          <w:sz w:val="24"/>
          <w:lang w:val="zh-CN"/>
        </w:rPr>
        <w:t>一、本单位对所提交的单位基本信息、单位负责人、项目负责人、技术负责人、从业资质和资格、业绩、财务状况、信誉等所有资料，均合法、真实、准确、有效，无任何伪造、修改、虚假成分；</w:t>
      </w:r>
    </w:p>
    <w:p>
      <w:pPr>
        <w:spacing w:line="360" w:lineRule="auto"/>
        <w:ind w:firstLineChars="200" w:firstLine="480"/>
        <w:rPr>
          <w:rFonts w:ascii="宋体" w:cs="宋体"/>
          <w:kern w:val="0"/>
          <w:sz w:val="24"/>
          <w:lang w:val="zh-CN"/>
        </w:rPr>
      </w:pPr>
      <w:r>
        <w:rPr>
          <w:rFonts w:ascii="宋体" w:cs="宋体" w:hint="eastAsia"/>
          <w:kern w:val="0"/>
          <w:sz w:val="24"/>
          <w:lang w:val="zh-CN"/>
        </w:rPr>
        <w:t>二、严格依照国家和省、市、县关于政府采购等方面的法律、法规、规章、规范性文件，参加</w:t>
      </w:r>
      <w:r>
        <w:rPr>
          <w:rFonts w:ascii="宋体" w:cs="宋体" w:hint="eastAsia"/>
          <w:kern w:val="0"/>
          <w:sz w:val="24"/>
        </w:rPr>
        <w:t>采购人组织的</w:t>
      </w:r>
      <w:r>
        <w:rPr>
          <w:rFonts w:ascii="宋体" w:cs="宋体" w:hint="eastAsia"/>
          <w:kern w:val="0"/>
          <w:sz w:val="24"/>
          <w:lang w:val="zh-CN"/>
        </w:rPr>
        <w:t>招标投标活动；积极履行社会责任，促进廉政建设；</w:t>
      </w:r>
    </w:p>
    <w:p>
      <w:pPr>
        <w:spacing w:line="360" w:lineRule="auto"/>
        <w:ind w:firstLineChars="200" w:firstLine="480"/>
        <w:rPr>
          <w:rFonts w:ascii="宋体" w:cs="宋体"/>
          <w:kern w:val="0"/>
          <w:sz w:val="24"/>
          <w:lang w:val="zh-CN"/>
        </w:rPr>
      </w:pPr>
      <w:r>
        <w:rPr>
          <w:rFonts w:ascii="宋体" w:cs="宋体" w:hint="eastAsia"/>
          <w:kern w:val="0"/>
          <w:sz w:val="24"/>
          <w:lang w:val="zh-CN"/>
        </w:rPr>
        <w:t>三、严格遵守即时信息公示规定，及时更新公共资源交易中心主体信息库中信息；</w:t>
      </w:r>
    </w:p>
    <w:p>
      <w:pPr>
        <w:spacing w:line="360" w:lineRule="auto"/>
        <w:ind w:firstLineChars="200" w:firstLine="480"/>
        <w:rPr>
          <w:rFonts w:ascii="宋体" w:cs="宋体"/>
          <w:kern w:val="0"/>
          <w:sz w:val="24"/>
          <w:lang w:val="zh-CN"/>
        </w:rPr>
      </w:pPr>
      <w:r>
        <w:rPr>
          <w:rFonts w:ascii="宋体" w:cs="宋体" w:hint="eastAsia"/>
          <w:kern w:val="0"/>
          <w:sz w:val="24"/>
          <w:lang w:val="zh-CN"/>
        </w:rPr>
        <w:t>四、自我约束、自我管理，守合同、重信用，不参与围标串标、弄虚作假、骗取中标、干扰评标、违约毁约、恶意投诉等行为，主动维护公共资源交易招标投标的良好秩序；</w:t>
      </w:r>
    </w:p>
    <w:p>
      <w:pPr>
        <w:spacing w:line="360" w:lineRule="auto"/>
        <w:ind w:firstLineChars="200" w:firstLine="480"/>
        <w:rPr>
          <w:rFonts w:ascii="宋体" w:cs="宋体"/>
          <w:kern w:val="0"/>
          <w:sz w:val="24"/>
          <w:lang w:val="zh-CN"/>
        </w:rPr>
      </w:pPr>
      <w:r>
        <w:rPr>
          <w:rFonts w:ascii="宋体" w:cs="宋体" w:hint="eastAsia"/>
          <w:kern w:val="0"/>
          <w:sz w:val="24"/>
          <w:lang w:val="zh-CN"/>
        </w:rPr>
        <w:t>五、本单位自愿接受有关行政监督部门的依法检查。如发生违法违规或不良行为或存在其他法律法规对招标投标行为予以限制的情形，自愿接受有关行政监督部门依法给予的行政处罚（处理），并依法承担相应的法律责任；</w:t>
      </w:r>
    </w:p>
    <w:p>
      <w:pPr>
        <w:spacing w:line="360" w:lineRule="auto"/>
        <w:ind w:firstLineChars="200" w:firstLine="480"/>
        <w:rPr>
          <w:rFonts w:ascii="宋体" w:cs="宋体"/>
          <w:kern w:val="0"/>
          <w:sz w:val="24"/>
          <w:lang w:val="zh-CN"/>
        </w:rPr>
      </w:pPr>
      <w:r>
        <w:rPr>
          <w:rFonts w:ascii="宋体" w:cs="宋体" w:hint="eastAsia"/>
          <w:kern w:val="0"/>
          <w:sz w:val="24"/>
          <w:lang w:val="zh-CN"/>
        </w:rPr>
        <w:t>六、自觉接受政府部门、行业组织、社会公众、新闻舆论等监督；</w:t>
      </w:r>
    </w:p>
    <w:p>
      <w:pPr>
        <w:spacing w:line="360" w:lineRule="auto"/>
        <w:ind w:firstLineChars="200" w:firstLine="480"/>
        <w:rPr>
          <w:rFonts w:ascii="宋体" w:cs="宋体"/>
          <w:kern w:val="0"/>
          <w:sz w:val="24"/>
          <w:lang w:val="zh-CN"/>
        </w:rPr>
      </w:pPr>
      <w:r>
        <w:rPr>
          <w:rFonts w:ascii="宋体" w:cs="宋体" w:hint="eastAsia"/>
          <w:kern w:val="0"/>
          <w:sz w:val="24"/>
          <w:lang w:val="zh-CN"/>
        </w:rPr>
        <w:t>七、上述承诺已向本单位员工作了宣传教育；</w:t>
      </w:r>
    </w:p>
    <w:p>
      <w:pPr>
        <w:tabs>
          <w:tab w:val="left" w:pos="4860"/>
        </w:tabs>
        <w:spacing w:line="360" w:lineRule="auto"/>
        <w:ind w:right="1560"/>
        <w:jc w:val="left"/>
        <w:rPr>
          <w:rFonts w:ascii="宋体" w:cs="宋体"/>
          <w:b/>
          <w:kern w:val="0"/>
          <w:sz w:val="24"/>
          <w:lang w:val="zh-CN"/>
        </w:rPr>
      </w:pPr>
      <w:r>
        <w:rPr>
          <w:rFonts w:ascii="宋体" w:cs="宋体" w:hint="eastAsia"/>
          <w:b/>
          <w:kern w:val="0"/>
          <w:sz w:val="24"/>
          <w:lang w:val="zh-CN"/>
        </w:rPr>
        <w:t>如有违反上述承诺的不良行为，本单位同意将其予以上网公示。</w:t>
      </w:r>
    </w:p>
    <w:p>
      <w:pPr>
        <w:spacing w:line="360" w:lineRule="auto"/>
        <w:ind w:firstLineChars="1100" w:firstLine="3080"/>
        <w:rPr>
          <w:rFonts w:ascii="宋体" w:cs="宋体"/>
          <w:sz w:val="28"/>
          <w:szCs w:val="28"/>
        </w:rPr>
      </w:pPr>
      <w:r>
        <w:rPr>
          <w:rFonts w:ascii="宋体" w:cs="宋体" w:hint="eastAsia"/>
          <w:sz w:val="28"/>
          <w:szCs w:val="28"/>
        </w:rPr>
        <w:t xml:space="preserve">  </w:t>
      </w:r>
    </w:p>
    <w:p>
      <w:pPr>
        <w:spacing w:line="360" w:lineRule="auto"/>
        <w:ind w:firstLineChars="1100" w:firstLine="3080"/>
        <w:rPr>
          <w:rFonts w:ascii="宋体" w:cs="宋体"/>
          <w:kern w:val="0"/>
          <w:sz w:val="28"/>
          <w:szCs w:val="28"/>
          <w:u w:val="single"/>
          <w:lang w:val="zh-CN"/>
        </w:rPr>
      </w:pPr>
      <w:r>
        <w:rPr>
          <w:rFonts w:ascii="宋体" w:cs="宋体" w:hint="eastAsia"/>
          <w:kern w:val="0"/>
          <w:sz w:val="28"/>
          <w:szCs w:val="28"/>
          <w:lang w:val="zh-CN"/>
        </w:rPr>
        <w:t>投标供应商全称(盖公章)：</w:t>
      </w:r>
    </w:p>
    <w:p>
      <w:pPr>
        <w:spacing w:line="360" w:lineRule="auto"/>
        <w:ind w:firstLineChars="1100" w:firstLine="3080"/>
        <w:rPr>
          <w:rFonts w:ascii="宋体" w:cs="宋体"/>
          <w:sz w:val="28"/>
          <w:szCs w:val="28"/>
          <w:u w:val="single"/>
          <w:lang w:val="zh-CN"/>
        </w:rPr>
      </w:pPr>
      <w:r>
        <w:rPr>
          <w:rFonts w:ascii="宋体" w:cs="宋体" w:hint="eastAsia"/>
          <w:kern w:val="0"/>
          <w:sz w:val="28"/>
          <w:szCs w:val="28"/>
          <w:lang w:val="zh-CN"/>
        </w:rPr>
        <w:t>法定代表人（签字或盖章）：</w:t>
      </w:r>
    </w:p>
    <w:p>
      <w:pPr>
        <w:spacing w:line="360" w:lineRule="auto"/>
        <w:ind w:firstLineChars="1100" w:firstLine="3080"/>
        <w:rPr>
          <w:rFonts w:ascii="宋体" w:cs="宋体"/>
          <w:kern w:val="0"/>
          <w:sz w:val="28"/>
          <w:szCs w:val="28"/>
          <w:lang w:val="zh-CN"/>
        </w:rPr>
      </w:pPr>
      <w:r>
        <w:rPr>
          <w:rFonts w:ascii="宋体" w:cs="宋体" w:hint="eastAsia"/>
          <w:kern w:val="0"/>
          <w:sz w:val="28"/>
          <w:szCs w:val="28"/>
          <w:lang w:val="zh-CN"/>
        </w:rPr>
        <w:t>时间：  年  月   日</w:t>
      </w:r>
    </w:p>
    <w:p>
      <w:pPr>
        <w:spacing w:line="360" w:lineRule="auto"/>
        <w:rPr>
          <w:rFonts w:ascii="宋体" w:cs="宋体"/>
        </w:rPr>
      </w:pPr>
    </w:p>
    <w:p>
      <w:pPr>
        <w:spacing w:line="360" w:lineRule="auto"/>
        <w:rPr>
          <w:rFonts w:ascii="宋体" w:cs="宋体"/>
        </w:rPr>
      </w:pPr>
    </w:p>
    <w:p>
      <w:pPr>
        <w:snapToGrid w:val="0"/>
        <w:spacing w:line="360" w:lineRule="auto"/>
        <w:rPr>
          <w:rFonts w:ascii="宋体" w:cs="宋体"/>
          <w:sz w:val="32"/>
          <w:szCs w:val="32"/>
        </w:rPr>
      </w:pPr>
      <w:r>
        <w:rPr>
          <w:rFonts w:ascii="宋体" w:cs="宋体" w:hint="eastAsia"/>
          <w:sz w:val="32"/>
          <w:szCs w:val="32"/>
        </w:rPr>
        <w:br w:type="page"/>
        <w:t>附件12</w:t>
      </w:r>
    </w:p>
    <w:p>
      <w:pPr>
        <w:spacing w:line="360" w:lineRule="auto"/>
        <w:jc w:val="center"/>
        <w:rPr>
          <w:rFonts w:ascii="宋体" w:cs="宋体"/>
          <w:bCs/>
          <w:sz w:val="40"/>
          <w:szCs w:val="40"/>
        </w:rPr>
      </w:pPr>
      <w:r>
        <w:rPr>
          <w:rFonts w:ascii="宋体" w:cs="宋体" w:hint="eastAsia"/>
          <w:bCs/>
          <w:sz w:val="40"/>
          <w:szCs w:val="40"/>
        </w:rPr>
        <w:t>质疑函范本</w:t>
      </w:r>
    </w:p>
    <w:p>
      <w:pPr>
        <w:adjustRightInd w:val="0"/>
        <w:snapToGrid w:val="0"/>
        <w:spacing w:beforeLines="100" w:before="240" w:line="360" w:lineRule="auto"/>
        <w:rPr>
          <w:rFonts w:ascii="宋体" w:cs="宋体"/>
          <w:bCs/>
          <w:sz w:val="28"/>
          <w:szCs w:val="28"/>
        </w:rPr>
      </w:pPr>
      <w:r>
        <w:rPr>
          <w:rFonts w:ascii="宋体" w:cs="宋体" w:hint="eastAsia"/>
          <w:bCs/>
          <w:sz w:val="28"/>
          <w:szCs w:val="28"/>
        </w:rPr>
        <w:t>一、质疑供应商基本信息</w:t>
      </w:r>
    </w:p>
    <w:p>
      <w:pPr>
        <w:adjustRightInd w:val="0"/>
        <w:snapToGrid w:val="0"/>
        <w:spacing w:line="360" w:lineRule="auto"/>
        <w:rPr>
          <w:rFonts w:ascii="宋体" w:cs="宋体"/>
          <w:sz w:val="28"/>
          <w:szCs w:val="28"/>
          <w:u w:val="dotted"/>
        </w:rPr>
      </w:pPr>
      <w:r>
        <w:rPr>
          <w:rFonts w:ascii="宋体" w:cs="宋体" w:hint="eastAsia"/>
          <w:sz w:val="28"/>
          <w:szCs w:val="28"/>
        </w:rPr>
        <w:t>质疑供应商：</w:t>
      </w:r>
    </w:p>
    <w:p>
      <w:pPr>
        <w:adjustRightInd w:val="0"/>
        <w:snapToGrid w:val="0"/>
        <w:spacing w:line="360" w:lineRule="auto"/>
        <w:rPr>
          <w:rFonts w:ascii="宋体" w:cs="宋体"/>
          <w:sz w:val="28"/>
          <w:szCs w:val="28"/>
        </w:rPr>
      </w:pPr>
      <w:r>
        <w:rPr>
          <w:rFonts w:ascii="宋体" w:cs="宋体" w:hint="eastAsia"/>
          <w:sz w:val="28"/>
          <w:szCs w:val="28"/>
        </w:rPr>
        <w:t>地址：邮编：</w:t>
      </w:r>
    </w:p>
    <w:p>
      <w:pPr>
        <w:adjustRightInd w:val="0"/>
        <w:snapToGrid w:val="0"/>
        <w:spacing w:line="360" w:lineRule="auto"/>
        <w:rPr>
          <w:rFonts w:ascii="宋体" w:cs="宋体"/>
          <w:sz w:val="28"/>
          <w:szCs w:val="28"/>
        </w:rPr>
      </w:pPr>
      <w:r>
        <w:rPr>
          <w:rFonts w:ascii="宋体" w:cs="宋体" w:hint="eastAsia"/>
          <w:sz w:val="28"/>
          <w:szCs w:val="28"/>
        </w:rPr>
        <w:t>联系人：联系电话：</w:t>
      </w:r>
    </w:p>
    <w:p>
      <w:pPr>
        <w:adjustRightInd w:val="0"/>
        <w:snapToGrid w:val="0"/>
        <w:spacing w:line="360" w:lineRule="auto"/>
        <w:rPr>
          <w:rFonts w:ascii="宋体" w:cs="宋体"/>
          <w:sz w:val="28"/>
          <w:szCs w:val="28"/>
          <w:u w:val="dotted"/>
        </w:rPr>
      </w:pPr>
      <w:r>
        <w:rPr>
          <w:rFonts w:ascii="宋体" w:cs="宋体" w:hint="eastAsia"/>
          <w:sz w:val="28"/>
          <w:szCs w:val="28"/>
        </w:rPr>
        <w:t>授权代表：</w:t>
      </w:r>
    </w:p>
    <w:p>
      <w:pPr>
        <w:adjustRightInd w:val="0"/>
        <w:snapToGrid w:val="0"/>
        <w:spacing w:line="360" w:lineRule="auto"/>
        <w:rPr>
          <w:rFonts w:ascii="宋体" w:cs="宋体"/>
          <w:sz w:val="28"/>
          <w:szCs w:val="28"/>
        </w:rPr>
      </w:pPr>
      <w:r>
        <w:rPr>
          <w:rFonts w:ascii="宋体" w:cs="宋体" w:hint="eastAsia"/>
          <w:sz w:val="28"/>
          <w:szCs w:val="28"/>
        </w:rPr>
        <w:t>联系电话：</w:t>
      </w:r>
    </w:p>
    <w:p>
      <w:pPr>
        <w:adjustRightInd w:val="0"/>
        <w:snapToGrid w:val="0"/>
        <w:spacing w:line="360" w:lineRule="auto"/>
        <w:rPr>
          <w:rFonts w:ascii="宋体" w:cs="宋体"/>
          <w:sz w:val="28"/>
          <w:szCs w:val="28"/>
        </w:rPr>
      </w:pPr>
      <w:r>
        <w:rPr>
          <w:rFonts w:ascii="宋体" w:cs="宋体" w:hint="eastAsia"/>
          <w:sz w:val="28"/>
          <w:szCs w:val="28"/>
        </w:rPr>
        <w:t>地址：邮编：</w:t>
      </w:r>
    </w:p>
    <w:p>
      <w:pPr>
        <w:adjustRightInd w:val="0"/>
        <w:snapToGrid w:val="0"/>
        <w:spacing w:line="360" w:lineRule="auto"/>
        <w:rPr>
          <w:rFonts w:ascii="宋体" w:cs="宋体"/>
          <w:bCs/>
          <w:sz w:val="28"/>
          <w:szCs w:val="28"/>
        </w:rPr>
      </w:pPr>
      <w:r>
        <w:rPr>
          <w:rFonts w:ascii="宋体" w:cs="宋体" w:hint="eastAsia"/>
          <w:bCs/>
          <w:sz w:val="28"/>
          <w:szCs w:val="28"/>
        </w:rPr>
        <w:t>二、质疑项目基本情况</w:t>
      </w:r>
    </w:p>
    <w:p>
      <w:pPr>
        <w:adjustRightInd w:val="0"/>
        <w:snapToGrid w:val="0"/>
        <w:spacing w:line="360" w:lineRule="auto"/>
        <w:rPr>
          <w:rFonts w:ascii="宋体" w:cs="宋体"/>
          <w:sz w:val="28"/>
          <w:szCs w:val="28"/>
        </w:rPr>
      </w:pPr>
      <w:r>
        <w:rPr>
          <w:rFonts w:ascii="宋体" w:cs="宋体" w:hint="eastAsia"/>
          <w:sz w:val="28"/>
          <w:szCs w:val="28"/>
        </w:rPr>
        <w:t>质疑项目的名称：</w:t>
      </w:r>
    </w:p>
    <w:p>
      <w:pPr>
        <w:adjustRightInd w:val="0"/>
        <w:snapToGrid w:val="0"/>
        <w:spacing w:line="360" w:lineRule="auto"/>
        <w:rPr>
          <w:rFonts w:ascii="宋体" w:cs="宋体"/>
          <w:sz w:val="28"/>
          <w:szCs w:val="28"/>
        </w:rPr>
      </w:pPr>
      <w:r>
        <w:rPr>
          <w:rFonts w:ascii="宋体" w:cs="宋体" w:hint="eastAsia"/>
          <w:sz w:val="28"/>
          <w:szCs w:val="28"/>
        </w:rPr>
        <w:t>质疑项目的编号：包号：</w:t>
      </w:r>
    </w:p>
    <w:p>
      <w:pPr>
        <w:adjustRightInd w:val="0"/>
        <w:snapToGrid w:val="0"/>
        <w:spacing w:line="360" w:lineRule="auto"/>
        <w:rPr>
          <w:rFonts w:ascii="宋体" w:cs="宋体"/>
          <w:sz w:val="28"/>
          <w:szCs w:val="28"/>
          <w:u w:val="dotted"/>
        </w:rPr>
      </w:pPr>
      <w:r>
        <w:rPr>
          <w:rFonts w:ascii="宋体" w:cs="宋体" w:hint="eastAsia"/>
          <w:sz w:val="28"/>
          <w:szCs w:val="28"/>
        </w:rPr>
        <w:t>采购人名称：</w:t>
      </w:r>
    </w:p>
    <w:p>
      <w:pPr>
        <w:adjustRightInd w:val="0"/>
        <w:snapToGrid w:val="0"/>
        <w:spacing w:line="360" w:lineRule="auto"/>
        <w:rPr>
          <w:rFonts w:ascii="宋体" w:cs="宋体"/>
          <w:sz w:val="28"/>
          <w:szCs w:val="28"/>
        </w:rPr>
      </w:pPr>
      <w:r>
        <w:rPr>
          <w:rFonts w:ascii="宋体" w:cs="宋体" w:hint="eastAsia"/>
          <w:sz w:val="28"/>
          <w:szCs w:val="28"/>
        </w:rPr>
        <w:t>采购文件获取日期：</w:t>
      </w:r>
    </w:p>
    <w:p>
      <w:pPr>
        <w:adjustRightInd w:val="0"/>
        <w:snapToGrid w:val="0"/>
        <w:spacing w:line="360" w:lineRule="auto"/>
        <w:rPr>
          <w:rFonts w:ascii="宋体" w:cs="宋体"/>
          <w:bCs/>
          <w:sz w:val="28"/>
          <w:szCs w:val="28"/>
        </w:rPr>
      </w:pPr>
      <w:r>
        <w:rPr>
          <w:rFonts w:ascii="宋体" w:cs="宋体" w:hint="eastAsia"/>
          <w:bCs/>
          <w:sz w:val="28"/>
          <w:szCs w:val="28"/>
        </w:rPr>
        <w:t>三、质疑事项具体内容</w:t>
      </w:r>
    </w:p>
    <w:p>
      <w:pPr>
        <w:adjustRightInd w:val="0"/>
        <w:snapToGrid w:val="0"/>
        <w:spacing w:line="360" w:lineRule="auto"/>
        <w:rPr>
          <w:rFonts w:ascii="宋体" w:cs="宋体"/>
          <w:sz w:val="28"/>
          <w:szCs w:val="28"/>
          <w:u w:val="dotted"/>
        </w:rPr>
      </w:pPr>
      <w:r>
        <w:rPr>
          <w:rFonts w:ascii="宋体" w:cs="宋体" w:hint="eastAsia"/>
          <w:sz w:val="28"/>
          <w:szCs w:val="28"/>
        </w:rPr>
        <w:t>质疑事项1：</w:t>
      </w:r>
    </w:p>
    <w:p>
      <w:pPr>
        <w:adjustRightInd w:val="0"/>
        <w:snapToGrid w:val="0"/>
        <w:spacing w:line="360" w:lineRule="auto"/>
        <w:rPr>
          <w:rFonts w:ascii="宋体" w:cs="宋体"/>
          <w:sz w:val="28"/>
          <w:szCs w:val="28"/>
          <w:u w:val="dotted"/>
        </w:rPr>
      </w:pPr>
      <w:r>
        <w:rPr>
          <w:rFonts w:ascii="宋体" w:cs="宋体" w:hint="eastAsia"/>
          <w:sz w:val="28"/>
          <w:szCs w:val="28"/>
        </w:rPr>
        <w:t>事实依据：</w:t>
      </w:r>
    </w:p>
    <w:p>
      <w:pPr>
        <w:adjustRightInd w:val="0"/>
        <w:snapToGrid w:val="0"/>
        <w:spacing w:line="360" w:lineRule="auto"/>
        <w:rPr>
          <w:rFonts w:ascii="宋体" w:cs="宋体"/>
          <w:sz w:val="28"/>
          <w:szCs w:val="28"/>
        </w:rPr>
      </w:pPr>
    </w:p>
    <w:p>
      <w:pPr>
        <w:adjustRightInd w:val="0"/>
        <w:snapToGrid w:val="0"/>
        <w:spacing w:line="360" w:lineRule="auto"/>
        <w:rPr>
          <w:rFonts w:ascii="宋体" w:cs="宋体"/>
          <w:sz w:val="28"/>
          <w:szCs w:val="28"/>
          <w:u w:val="dotted"/>
        </w:rPr>
      </w:pPr>
      <w:r>
        <w:rPr>
          <w:rFonts w:ascii="宋体" w:cs="宋体" w:hint="eastAsia"/>
          <w:sz w:val="28"/>
          <w:szCs w:val="28"/>
        </w:rPr>
        <w:t>法律依据：</w:t>
      </w:r>
    </w:p>
    <w:p>
      <w:pPr>
        <w:adjustRightInd w:val="0"/>
        <w:snapToGrid w:val="0"/>
        <w:spacing w:line="360" w:lineRule="auto"/>
        <w:rPr>
          <w:rFonts w:ascii="宋体" w:cs="宋体"/>
          <w:sz w:val="28"/>
          <w:szCs w:val="28"/>
          <w:u w:val="dotted"/>
        </w:rPr>
      </w:pPr>
    </w:p>
    <w:p>
      <w:pPr>
        <w:adjustRightInd w:val="0"/>
        <w:snapToGrid w:val="0"/>
        <w:spacing w:line="360" w:lineRule="auto"/>
        <w:rPr>
          <w:rFonts w:ascii="宋体" w:cs="宋体"/>
          <w:sz w:val="28"/>
          <w:szCs w:val="28"/>
          <w:u w:val="dotted"/>
        </w:rPr>
      </w:pPr>
      <w:r>
        <w:rPr>
          <w:rFonts w:ascii="宋体" w:cs="宋体" w:hint="eastAsia"/>
          <w:sz w:val="28"/>
          <w:szCs w:val="28"/>
        </w:rPr>
        <w:t>质疑事项2</w:t>
      </w:r>
    </w:p>
    <w:p>
      <w:pPr>
        <w:adjustRightInd w:val="0"/>
        <w:snapToGrid w:val="0"/>
        <w:spacing w:line="360" w:lineRule="auto"/>
        <w:rPr>
          <w:rFonts w:ascii="宋体" w:cs="宋体"/>
          <w:sz w:val="28"/>
          <w:szCs w:val="28"/>
        </w:rPr>
      </w:pPr>
      <w:r>
        <w:rPr>
          <w:rFonts w:ascii="宋体" w:cs="宋体" w:hint="eastAsia"/>
          <w:sz w:val="28"/>
          <w:szCs w:val="28"/>
        </w:rPr>
        <w:t>……</w:t>
      </w:r>
    </w:p>
    <w:p>
      <w:pPr>
        <w:adjustRightInd w:val="0"/>
        <w:snapToGrid w:val="0"/>
        <w:spacing w:line="360" w:lineRule="auto"/>
        <w:rPr>
          <w:rFonts w:ascii="宋体" w:cs="宋体"/>
          <w:bCs/>
          <w:sz w:val="28"/>
          <w:szCs w:val="28"/>
        </w:rPr>
      </w:pPr>
      <w:r>
        <w:rPr>
          <w:rFonts w:ascii="宋体" w:cs="宋体" w:hint="eastAsia"/>
          <w:bCs/>
          <w:sz w:val="28"/>
          <w:szCs w:val="28"/>
        </w:rPr>
        <w:t>四、与质疑事项相关的质疑请求</w:t>
      </w:r>
    </w:p>
    <w:p>
      <w:pPr>
        <w:adjustRightInd w:val="0"/>
        <w:snapToGrid w:val="0"/>
        <w:spacing w:line="360" w:lineRule="auto"/>
        <w:rPr>
          <w:rFonts w:ascii="宋体" w:cs="宋体"/>
          <w:sz w:val="28"/>
          <w:szCs w:val="28"/>
          <w:u w:val="dotted"/>
        </w:rPr>
      </w:pPr>
      <w:r>
        <w:rPr>
          <w:rFonts w:ascii="宋体" w:cs="宋体" w:hint="eastAsia"/>
          <w:sz w:val="28"/>
          <w:szCs w:val="28"/>
        </w:rPr>
        <w:t>请求：</w:t>
      </w:r>
    </w:p>
    <w:p>
      <w:pPr>
        <w:spacing w:line="360" w:lineRule="auto"/>
        <w:rPr>
          <w:rFonts w:ascii="宋体" w:cs="宋体"/>
          <w:sz w:val="28"/>
          <w:szCs w:val="28"/>
        </w:rPr>
      </w:pPr>
      <w:r>
        <w:rPr>
          <w:rFonts w:ascii="宋体" w:cs="宋体" w:hint="eastAsia"/>
          <w:sz w:val="28"/>
          <w:szCs w:val="28"/>
        </w:rPr>
        <w:t xml:space="preserve">签字(签章)：                   公章：                      </w:t>
      </w:r>
    </w:p>
    <w:p>
      <w:pPr>
        <w:spacing w:line="360" w:lineRule="auto"/>
        <w:rPr>
          <w:rFonts w:ascii="宋体" w:cs="宋体"/>
          <w:sz w:val="28"/>
          <w:szCs w:val="28"/>
        </w:rPr>
      </w:pPr>
      <w:r>
        <w:rPr>
          <w:rFonts w:ascii="宋体" w:cs="宋体" w:hint="eastAsia"/>
          <w:sz w:val="28"/>
          <w:szCs w:val="28"/>
        </w:rPr>
        <w:t xml:space="preserve">日期：    </w:t>
      </w:r>
    </w:p>
    <w:p>
      <w:pPr>
        <w:adjustRightInd w:val="0"/>
        <w:snapToGrid w:val="0"/>
        <w:spacing w:line="360" w:lineRule="auto"/>
        <w:rPr>
          <w:rFonts w:ascii="宋体" w:cs="宋体"/>
          <w:sz w:val="28"/>
          <w:szCs w:val="28"/>
        </w:rPr>
      </w:pPr>
    </w:p>
    <w:p>
      <w:pPr>
        <w:spacing w:line="360" w:lineRule="auto"/>
        <w:rPr>
          <w:rFonts w:ascii="宋体" w:cs="宋体"/>
          <w:b/>
          <w:sz w:val="28"/>
          <w:szCs w:val="28"/>
        </w:rPr>
      </w:pPr>
    </w:p>
    <w:p>
      <w:pPr>
        <w:spacing w:line="360" w:lineRule="auto"/>
        <w:rPr>
          <w:rFonts w:ascii="宋体" w:cs="宋体"/>
          <w:b/>
          <w:sz w:val="28"/>
          <w:szCs w:val="28"/>
        </w:rPr>
      </w:pPr>
    </w:p>
    <w:p>
      <w:pPr>
        <w:spacing w:line="360" w:lineRule="auto"/>
        <w:rPr>
          <w:rFonts w:ascii="宋体" w:cs="宋体"/>
          <w:b/>
          <w:sz w:val="28"/>
          <w:szCs w:val="28"/>
        </w:rPr>
      </w:pPr>
      <w:r>
        <w:rPr>
          <w:rFonts w:ascii="宋体" w:cs="宋体" w:hint="eastAsia"/>
          <w:b/>
          <w:sz w:val="28"/>
          <w:szCs w:val="28"/>
        </w:rPr>
        <w:t>质疑函制作说明：</w:t>
      </w:r>
    </w:p>
    <w:p>
      <w:pPr>
        <w:widowControl/>
        <w:spacing w:line="360" w:lineRule="auto"/>
        <w:ind w:firstLineChars="200" w:firstLine="560"/>
        <w:jc w:val="left"/>
        <w:rPr>
          <w:rFonts w:ascii="宋体" w:cs="宋体"/>
          <w:sz w:val="28"/>
          <w:szCs w:val="28"/>
        </w:rPr>
      </w:pPr>
      <w:r>
        <w:rPr>
          <w:rFonts w:ascii="宋体" w:cs="宋体" w:hint="eastAsia"/>
          <w:sz w:val="28"/>
          <w:szCs w:val="28"/>
        </w:rPr>
        <w:t>1.供应商提出质疑时，应提交质疑函和必要的证明材料。</w:t>
      </w:r>
    </w:p>
    <w:p>
      <w:pPr>
        <w:widowControl/>
        <w:spacing w:line="360" w:lineRule="auto"/>
        <w:ind w:firstLineChars="200" w:firstLine="560"/>
        <w:jc w:val="left"/>
        <w:rPr>
          <w:rFonts w:ascii="宋体" w:cs="宋体"/>
          <w:sz w:val="28"/>
          <w:szCs w:val="28"/>
        </w:rPr>
      </w:pPr>
      <w:r>
        <w:rPr>
          <w:rFonts w:ascii="宋体" w:cs="宋体" w:hint="eastAsia"/>
          <w:sz w:val="28"/>
          <w:szCs w:val="28"/>
        </w:rPr>
        <w:t>2.质疑供应商若委托代理人进行质疑的，质疑函应按要求列明“授权代表”的有关内容，并在附件中提交由质疑</w:t>
      </w:r>
      <w:r>
        <w:rPr>
          <w:rFonts w:ascii="宋体" w:cs="宋体" w:hint="eastAsia"/>
          <w:kern w:val="0"/>
          <w:sz w:val="28"/>
          <w:szCs w:val="28"/>
        </w:rPr>
        <w:t>供应商签署的授权委托书。授权委托书应载明代理人的姓名或者名称、代理事项、具体权限、期限和相关事项。</w:t>
      </w:r>
    </w:p>
    <w:p>
      <w:pPr>
        <w:widowControl/>
        <w:spacing w:line="360" w:lineRule="auto"/>
        <w:ind w:firstLineChars="200" w:firstLine="560"/>
        <w:jc w:val="left"/>
        <w:rPr>
          <w:rFonts w:ascii="宋体" w:cs="宋体"/>
          <w:sz w:val="28"/>
          <w:szCs w:val="28"/>
        </w:rPr>
      </w:pPr>
      <w:r>
        <w:rPr>
          <w:rFonts w:ascii="宋体" w:cs="宋体" w:hint="eastAsia"/>
          <w:sz w:val="28"/>
          <w:szCs w:val="28"/>
        </w:rPr>
        <w:t>3.质疑供应商若对项目的某一分包进行质疑，质疑函中应列明具体分包号。</w:t>
      </w:r>
    </w:p>
    <w:p>
      <w:pPr>
        <w:widowControl/>
        <w:spacing w:line="360" w:lineRule="auto"/>
        <w:ind w:firstLineChars="200" w:firstLine="560"/>
        <w:jc w:val="left"/>
        <w:rPr>
          <w:rFonts w:ascii="宋体" w:cs="宋体"/>
          <w:sz w:val="28"/>
          <w:szCs w:val="28"/>
        </w:rPr>
      </w:pPr>
      <w:r>
        <w:rPr>
          <w:rFonts w:ascii="宋体" w:cs="宋体" w:hint="eastAsia"/>
          <w:sz w:val="28"/>
          <w:szCs w:val="28"/>
        </w:rPr>
        <w:t>4.质疑函的质疑事项应具体、明确，并有必要的事实依据和法律依据。</w:t>
      </w:r>
    </w:p>
    <w:p>
      <w:pPr>
        <w:widowControl/>
        <w:spacing w:line="360" w:lineRule="auto"/>
        <w:ind w:firstLineChars="200" w:firstLine="560"/>
        <w:jc w:val="left"/>
        <w:rPr>
          <w:rFonts w:ascii="宋体" w:cs="宋体"/>
          <w:sz w:val="28"/>
          <w:szCs w:val="28"/>
        </w:rPr>
      </w:pPr>
      <w:r>
        <w:rPr>
          <w:rFonts w:ascii="宋体" w:cs="宋体" w:hint="eastAsia"/>
          <w:sz w:val="28"/>
          <w:szCs w:val="28"/>
        </w:rPr>
        <w:t>5.质疑函的质疑请求应与质疑事项相关。</w:t>
      </w:r>
    </w:p>
    <w:p>
      <w:pPr>
        <w:widowControl/>
        <w:spacing w:line="360" w:lineRule="auto"/>
        <w:ind w:firstLineChars="200" w:firstLine="560"/>
        <w:jc w:val="left"/>
        <w:rPr>
          <w:rFonts w:ascii="宋体" w:cs="宋体"/>
          <w:sz w:val="28"/>
          <w:szCs w:val="28"/>
        </w:rPr>
      </w:pPr>
      <w:r>
        <w:rPr>
          <w:rFonts w:ascii="宋体" w:cs="宋体" w:hint="eastAsia"/>
          <w:sz w:val="28"/>
          <w:szCs w:val="28"/>
        </w:rPr>
        <w:t>6.质疑供应商为自然人的，质疑函应由本人签字；质疑供应商为法人或者其他组织的，质疑函应由法定代表人、主要负责人，或者其授权代表签字或者盖章，并加盖公章。</w:t>
      </w:r>
    </w:p>
    <w:sectPr>
      <w:headerReference w:type="default" r:id="rId4"/>
      <w:footerReference w:type="default" r:id="rId5"/>
      <w:pgSz w:w="11907" w:h="16839"/>
      <w:pgMar w:top="1440" w:right="1800" w:bottom="1440" w:left="1800" w:header="720" w:footer="720" w:gutter="0"/>
      <w:docGrid w:linePitch="286" w:charSpace="0"/>
    </w:sectPr>
  </w:body>
</w:document>
</file>

<file path=word/fontTable.xml><?xml version="1.0" encoding="utf-8"?>
<w:fonts xmlns:w="http://schemas.openxmlformats.org/wordprocessingml/2006/main" xmlns:r="http://schemas.openxmlformats.org/officeDocument/2006/relationships">
  <w:font w:name="Calibri">
    <w:panose1 w:val="020F0502020204030204"/>
    <w:charset w:val="00"/>
    <w:family w:val="swiss"/>
    <w:pitch w:val="variable"/>
    <w:sig w:usb0="E00002FF" w:usb1="4000ACFF" w:usb2="00000001" w:usb3="00000000" w:csb0="2000019F" w:csb1="00000000"/>
  </w:font>
  <w:font w:name="宋体">
    <w:panose1 w:val="02010600030101010101"/>
    <w:charset w:val="88"/>
    <w:family w:val="modern"/>
    <w:pitch w:val="variable"/>
    <w:sig w:usb0="00000003" w:usb1="288F0000" w:usb2="00000006" w:usb3="00000000" w:csb0="00040001" w:csb1="00000000"/>
  </w:font>
  <w:font w:name="仿宋_GB2312">
    <w:altName w:val="仿宋"/>
    <w:panose1 w:val="02010609030101010101"/>
    <w:charset w:val="86"/>
    <w:family w:val="modern"/>
    <w:pitch w:val="variable"/>
    <w:sig w:usb0="00000000" w:usb1="00000000" w:usb2="00000000" w:usb3="00000000" w:csb0="00040000" w:csb1="00000000"/>
  </w:font>
  <w:font w:name="方正黑体_GBK">
    <w:altName w:val="微软雅黑"/>
    <w:panose1 w:val="03000509000000000000"/>
    <w:charset w:val="86"/>
    <w:family w:val="script"/>
    <w:pitch w:val="variable"/>
    <w:sig w:usb0="00000000" w:usb1="0000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1"/>
    <w:family w:val="swiss"/>
    <w:pitch w:val="variable"/>
    <w:sig w:usb0="E0002AFF" w:usb1="C0007843" w:usb2="00000009" w:usb3="00000000" w:csb0="400001FF" w:csb1="FFFF0000"/>
  </w:font>
  <w:font w:name="黑体">
    <w:panose1 w:val="02010609060101010101"/>
    <w:charset w:val="86"/>
    <w:family w:val="auto"/>
    <w:pitch w:val="variable"/>
    <w:sig w:usb0="800002BF" w:usb1="38CF7CFA" w:usb2="00000016" w:usb3="00000000" w:csb0="00040001" w:csb1="00000000"/>
  </w:font>
  <w:font w:name="新宋体">
    <w:panose1 w:val="02010609030101010101"/>
    <w:charset w:val="86"/>
    <w:family w:val="modern"/>
    <w:pitch w:val="variable"/>
    <w:sig w:usb0="00000003" w:usb1="288F0000" w:usb2="00000006" w:usb3="00000000" w:csb0="00040001" w:csb1="00000000"/>
  </w:font>
  <w:font w:name="楷体_GB2312">
    <w:altName w:val="楷体"/>
    <w:panose1 w:val="02010609030101010101"/>
    <w:charset w:val="86"/>
    <w:family w:val="modern"/>
    <w:pitch w:val="variable"/>
    <w:sig w:usb0="00000000" w:usb1="00000000" w:usb2="00000000" w:usb3="00000000" w:csb0="00040000" w:csb1="00000000"/>
  </w:font>
  <w:font w:name="Cambria">
    <w:panose1 w:val="02040503050406030204"/>
    <w:charset w:val="00"/>
    <w:family w:val="roman"/>
    <w:pitch w:val="variable"/>
    <w:sig w:usb0="E00002FF" w:usb1="400004FF" w:usb2="00000000" w:usb3="00000000" w:csb0="2000019F" w:csb1="00000000"/>
  </w:font>
  <w:font w:name="monospace">
    <w:altName w:val="Arial"/>
    <w:panose1 w:val="00000000000000000000"/>
    <w:charset w:val="00"/>
    <w:family w:val="auto"/>
    <w:pitch w:val="variable"/>
    <w:sig w:usb0="00000000" w:usb1="00000000" w:usb2="00000000" w:usb3="00000000" w:csb0="00000000" w:csb1="00000000"/>
  </w:font>
  <w:font w:name="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200101FF" w:csb1="20280000"/>
  </w:font>
  <w:font w:name="Verdana">
    <w:panose1 w:val="020B0604030504040204"/>
    <w:charset w:val="00"/>
    <w:family w:val="swiss"/>
    <w:pitch w:val="variable"/>
    <w:sig w:usb0="A10006FF" w:usb1="4000205B" w:usb2="00000010" w:usb3="00000000" w:csb0="2000019F" w:csb1="00000000"/>
  </w:font>
  <w:font w:name="等线">
    <w:altName w:val="宋体"/>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00" w:usb3="00000000" w:csb0="0004009F" w:csb1="DFD70000"/>
  </w:font>
  <w:font w:name="仿宋">
    <w:panose1 w:val="02010609060101010101"/>
    <w:charset w:val="86"/>
    <w:family w:val="modern"/>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9"/>
      <w:tabs>
        <w:tab w:val="center" w:pos="4153"/>
        <w:tab w:val="right" w:pos="8306"/>
      </w:tabs>
      <w:jc w:val="center"/>
    </w:pPr>
    <w:r>
      <w:fldChar w:fldCharType="begin"/>
    </w:r>
    <w:r>
      <w:instrText>PAGE   \* MERGEFORMAT</w:instrText>
    </w:r>
    <w:r>
      <w:fldChar w:fldCharType="separate"/>
    </w:r>
    <w:r>
      <w:rPr>
        <w:lang w:val="zh-CN"/>
      </w:rPr>
      <w:t>2</w:t>
    </w:r>
    <w:r>
      <w:fldChar w:fldCharType="end"/>
    </w:r>
  </w:p>
  <w:p>
    <w:pPr>
      <w:spacing w:line="116" w:lineRule="exact"/>
      <w:ind w:firstLine="4183"/>
      <w:rPr>
        <w:rFonts w:ascii="Calibri" w:eastAsia="Calibri" w:cs="Calibri" w:hAnsi="Calibri"/>
        <w:sz w:val="18"/>
        <w:szCs w:val="18"/>
      </w:rP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9"/>
      <w:tabs>
        <w:tab w:val="center" w:pos="4153"/>
        <w:tab w:val="right" w:pos="8306"/>
      </w:tabs>
    </w:pPr>
    <w:r>
      <mc:AlternateContent>
        <mc:Choice Requires="wps">
          <w:drawing>
            <wp:anchor distT="0" distB="0" distL="114298" distR="114298" simplePos="0" relativeHeight="15" behindDoc="0" locked="0" layoutInCell="1" hidden="0" allowOverlap="1">
              <wp:simplePos x="0" y="0"/>
              <wp:positionH relativeFrom="margin">
                <wp:align>center</wp:align>
              </wp:positionH>
              <wp:positionV relativeFrom="paragraph">
                <wp:posOffset>0</wp:posOffset>
              </wp:positionV>
              <wp:extent cx="114300" cy="131559"/>
              <wp:effectExtent l="0" t="0" r="0" b="0"/>
              <wp:wrapNone/>
              <wp:docPr id="1" name="文本框 4"/>
              <wp:cNvGraphicFramePr>
                <a:graphicFrameLocks noChangeAspect="0"/>
              </wp:cNvGraphicFramePr>
              <a:graphic>
                <a:graphicData uri="http://schemas.microsoft.com/office/word/2010/wordprocessingShape">
                  <wps:wsp>
                    <wps:cNvSpPr/>
                    <wps:spPr>
                      <a:xfrm rot="0">
                        <a:off x="0" y="0"/>
                        <a:ext cx="114300" cy="131559"/>
                      </a:xfrm>
                      <a:prstGeom prst="rect"/>
                      <a:noFill/>
                      <a:ln w="9525" cmpd="sng" cap="flat">
                        <a:noFill/>
                        <a:prstDash val="solid"/>
                        <a:round/>
                      </a:ln>
                    </wps:spPr>
                    <wps:txbx id="2">
                      <w:txbxContent>
                        <w:p>
                          <w:pPr>
                            <w:pStyle w:val="29"/>
                            <w:tabs>
                              <w:tab w:val="center" w:pos="4153"/>
                              <w:tab w:val="right" w:pos="8306"/>
                            </w:tabs>
                          </w:pPr>
                          <w:r>
                            <w:fldChar w:fldCharType="begin"/>
                          </w:r>
                          <w:r>
                            <w:instrText xml:space="preserve"> PAGE  \* MERGEFORMAT </w:instrText>
                          </w:r>
                          <w:r>
                            <w:fldChar w:fldCharType="separate"/>
                          </w:r>
                          <w:r>
                            <w:t>31</w:t>
                          </w:r>
                          <w:r>
                            <w:fldChar w:fldCharType="end"/>
                          </w:r>
                        </w:p>
                      </w:txbxContent>
                    </wps:txbx>
                    <wps:bodyPr vert="horz" wrap="none" lIns="0" tIns="0" rIns="0" bIns="0" anchor="t" anchorCtr="0" upright="0">
                      <a:spAutoFit/>
                    </wps:bodyPr>
                  </wps:wsp>
                </a:graphicData>
              </a:graphic>
            </wp:anchor>
          </w:drawing>
        </mc:Choice>
        <mc:Fallback>
          <w:pict>
            <v:shape type="#_x0000_t202" id="文本框 4 3" o:spid="_x0000_s3" filled="f" stroked="f" style="position:absolute;margin-left:0.0pt;margin-top:0.0pt;width:9.0pt;height:10.359035pt;z-index:15;mso-position-horizontal:center;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29"/>
                      <w:tabs>
                        <w:tab w:val="center" w:pos="4153"/>
                        <w:tab w:val="right" w:pos="8306"/>
                      </w:tabs>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0"/>
      <w:pBdr>
        <w:bottom w:val="none" w:sz="0" w:space="0" w:color="auto"/>
      </w:pBdr>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0"/>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CF092B84"/>
    <w:multiLevelType w:val="multilevel"/>
    <w:tmpl w:val="CF092B84"/>
    <w:lvl w:ilvl="0">
      <w:start w:val="1"/>
      <w:numFmt w:val="decimal"/>
      <w:lvlRestart w:val="0"/>
      <w:lvlText w:val="%1."/>
      <w:lvlJc w:val="left"/>
      <w:pPr>
        <w:tabs>
          <w:tab w:val="num" w:pos="0"/>
        </w:tabs>
        <w:ind w:left="420" w:hanging="420"/>
      </w:pPr>
      <w:rPr>
        <w:rFonts w:ascii="等线" w:hAnsi="等线" w:eastAsia="等线" w:hint="default"/>
        <w:bCs/>
      </w:rPr>
    </w:lvl>
    <w:lvl w:ilvl="1">
      <w:start w:val="1"/>
      <w:numFmt w:val="lowerLetter"/>
      <w:lvlText w:val="%2)"/>
      <w:lvlJc w:val="left"/>
      <w:pPr>
        <w:tabs>
          <w:tab w:val="num" w:pos="0"/>
        </w:tabs>
        <w:ind w:left="840" w:hanging="420"/>
      </w:pPr>
      <w:rPr>
        <w:rFonts w:ascii="等线" w:hAnsi="等线" w:eastAsia="等线" w:hint="default"/>
        <w:bCs/>
      </w:rPr>
    </w:lvl>
    <w:lvl w:ilvl="2">
      <w:start w:val="1"/>
      <w:numFmt w:val="lowerRoman"/>
      <w:lvlText w:val="%3."/>
      <w:lvlJc w:val="left"/>
      <w:pPr>
        <w:tabs>
          <w:tab w:val="num" w:pos="0"/>
        </w:tabs>
        <w:ind w:left="1260" w:hanging="420"/>
      </w:pPr>
      <w:rPr>
        <w:rFonts w:ascii="等线" w:hAnsi="等线" w:eastAsia="等线" w:hint="default"/>
        <w:bCs/>
      </w:rPr>
    </w:lvl>
    <w:lvl w:ilvl="3">
      <w:start w:val="1"/>
      <w:numFmt w:val="decimal"/>
      <w:lvlText w:val="%4."/>
      <w:lvlJc w:val="left"/>
      <w:pPr>
        <w:tabs>
          <w:tab w:val="num" w:pos="0"/>
        </w:tabs>
        <w:ind w:left="1680" w:hanging="420"/>
      </w:pPr>
      <w:rPr>
        <w:rFonts w:ascii="等线" w:hAnsi="等线" w:eastAsia="等线" w:hint="default"/>
        <w:bCs/>
      </w:rPr>
    </w:lvl>
    <w:lvl w:ilvl="4">
      <w:start w:val="1"/>
      <w:numFmt w:val="lowerLetter"/>
      <w:lvlText w:val="%5)"/>
      <w:lvlJc w:val="left"/>
      <w:pPr>
        <w:tabs>
          <w:tab w:val="num" w:pos="0"/>
        </w:tabs>
        <w:ind w:left="2100" w:hanging="420"/>
      </w:pPr>
      <w:rPr>
        <w:rFonts w:ascii="等线" w:hAnsi="等线" w:eastAsia="等线" w:hint="default"/>
        <w:bCs/>
      </w:rPr>
    </w:lvl>
    <w:lvl w:ilvl="5">
      <w:start w:val="1"/>
      <w:numFmt w:val="lowerRoman"/>
      <w:lvlText w:val="%6."/>
      <w:lvlJc w:val="left"/>
      <w:pPr>
        <w:tabs>
          <w:tab w:val="num" w:pos="0"/>
        </w:tabs>
        <w:ind w:left="2520" w:hanging="420"/>
      </w:pPr>
      <w:rPr>
        <w:rFonts w:ascii="等线" w:hAnsi="等线" w:eastAsia="等线" w:hint="default"/>
        <w:bCs/>
      </w:rPr>
    </w:lvl>
    <w:lvl w:ilvl="6">
      <w:start w:val="1"/>
      <w:numFmt w:val="decimal"/>
      <w:lvlText w:val="%7."/>
      <w:lvlJc w:val="left"/>
      <w:pPr>
        <w:tabs>
          <w:tab w:val="num" w:pos="0"/>
        </w:tabs>
        <w:ind w:left="2940" w:hanging="420"/>
      </w:pPr>
      <w:rPr>
        <w:rFonts w:ascii="等线" w:hAnsi="等线" w:eastAsia="等线" w:hint="default"/>
        <w:bCs/>
      </w:rPr>
    </w:lvl>
    <w:lvl w:ilvl="7">
      <w:start w:val="1"/>
      <w:numFmt w:val="lowerLetter"/>
      <w:lvlText w:val="%8)"/>
      <w:lvlJc w:val="left"/>
      <w:pPr>
        <w:tabs>
          <w:tab w:val="num" w:pos="0"/>
        </w:tabs>
        <w:ind w:left="3360" w:hanging="420"/>
      </w:pPr>
      <w:rPr>
        <w:rFonts w:ascii="等线" w:hAnsi="等线" w:eastAsia="等线" w:hint="default"/>
        <w:bCs/>
      </w:rPr>
    </w:lvl>
    <w:lvl w:ilvl="8">
      <w:start w:val="1"/>
      <w:numFmt w:val="lowerRoman"/>
      <w:lvlText w:val="%9."/>
      <w:lvlJc w:val="left"/>
      <w:pPr>
        <w:tabs>
          <w:tab w:val="num" w:pos="0"/>
        </w:tabs>
        <w:ind w:left="3780" w:hanging="420"/>
      </w:pPr>
      <w:rPr>
        <w:rFonts w:ascii="等线" w:hAnsi="等线" w:eastAsia="等线" w:hint="default"/>
        <w:bCs/>
      </w:rPr>
    </w:lvl>
  </w:abstractNum>
  <w:abstractNum w:abstractNumId="1">
    <w:nsid w:val="28387256"/>
    <w:multiLevelType w:val="multilevel"/>
    <w:tmpl w:val="28387256"/>
    <w:lvl w:ilvl="0">
      <w:start w:val="1"/>
      <w:numFmt w:val="decimal"/>
      <w:lvlRestart w:val="0"/>
      <w:suff w:val="space"/>
      <w:lvlText w:val="第%1章 "/>
      <w:lvlJc w:val="left"/>
      <w:pPr>
        <w:tabs>
          <w:tab w:val="num" w:pos="0"/>
        </w:tabs>
        <w:ind w:left="0" w:hanging="0"/>
      </w:pPr>
      <w:rPr>
        <w:rFonts w:hint="eastAsia"/>
        <w:b/>
        <w:sz w:val="44"/>
      </w:rPr>
    </w:lvl>
    <w:lvl w:ilvl="1">
      <w:start w:val="1"/>
      <w:numFmt w:val="decimal"/>
      <w:pStyle w:val="83"/>
      <w:isLgl/>
      <w:suff w:val="space"/>
      <w:lvlText w:val="%1.%2 "/>
      <w:lvlJc w:val="left"/>
      <w:pPr>
        <w:tabs>
          <w:tab w:val="num" w:pos="0"/>
        </w:tabs>
        <w:ind w:left="567" w:hanging="567"/>
      </w:pPr>
      <w:rPr>
        <w:rFonts w:ascii="Times New Roman" w:hAnsi="Times New Roman" w:hint="default"/>
        <w:b/>
      </w:rPr>
    </w:lvl>
    <w:lvl w:ilvl="2">
      <w:start w:val="1"/>
      <w:numFmt w:val="decimal"/>
      <w:isLgl/>
      <w:suff w:val="space"/>
      <w:lvlText w:val="%1.%2.%3 "/>
      <w:lvlJc w:val="left"/>
      <w:pPr>
        <w:tabs>
          <w:tab w:val="num" w:pos="0"/>
        </w:tabs>
        <w:ind w:left="567" w:hanging="567"/>
      </w:pPr>
      <w:rPr>
        <w:rFonts w:hint="eastAsia"/>
      </w:rPr>
    </w:lvl>
    <w:lvl w:ilvl="3">
      <w:start w:val="1"/>
      <w:numFmt w:val="decimal"/>
      <w:isLgl/>
      <w:lvlText w:val="%1.%2.%3.%4 "/>
      <w:lvlJc w:val="left"/>
      <w:pPr>
        <w:tabs>
          <w:tab w:val="num" w:pos="0"/>
        </w:tabs>
        <w:ind w:left="567" w:hanging="567"/>
      </w:pPr>
      <w:rPr>
        <w:rFonts w:ascii="Times New Roman" w:hAnsi="Times New Roman" w:cs="Times New Roman" w:hint="eastAsia"/>
        <w:b/>
        <w:i w:val="0"/>
        <w:iCs w:val="0"/>
        <w:caps w:val="0"/>
        <w:smallCaps w:val="0"/>
        <w:strike w:val="0"/>
        <w:dstrike w:val="0"/>
        <w:vanish w:val="0"/>
        <w:spacing w:val="0"/>
        <w:position w:val="0"/>
        <w:u w:val="none"/>
        <w:vertAlign w:val="baseline"/>
      </w:rPr>
    </w:lvl>
    <w:lvl w:ilvl="4">
      <w:start w:val="1"/>
      <w:numFmt w:val="decimal"/>
      <w:isLgl/>
      <w:suff w:val="space"/>
      <w:lvlText w:val="%1.%2.%3.%4.%5 "/>
      <w:lvlJc w:val="left"/>
      <w:pPr>
        <w:tabs>
          <w:tab w:val="num" w:pos="0"/>
        </w:tabs>
        <w:ind w:left="567" w:hanging="567"/>
      </w:pPr>
      <w:rPr>
        <w:rFonts w:hint="eastAsia"/>
      </w:rPr>
    </w:lvl>
    <w:lvl w:ilvl="5">
      <w:start w:val="1"/>
      <w:numFmt w:val="decimal"/>
      <w:lvlText w:val="%1.%2.%3.%4.%5.%6"/>
      <w:lvlJc w:val="left"/>
      <w:pPr>
        <w:tabs>
          <w:tab w:val="num" w:pos="0"/>
        </w:tabs>
        <w:ind w:left="1152" w:hanging="1152"/>
      </w:pPr>
      <w:rPr>
        <w:rFonts w:ascii="Times New Roman" w:hAnsi="Times New Roman" w:cs="Times New Roman" w:hint="default"/>
      </w:rPr>
    </w:lvl>
    <w:lvl w:ilvl="6">
      <w:start w:val="1"/>
      <w:numFmt w:val="decimal"/>
      <w:lvlText w:val="%1.%2.%3.%4.%5.%6.%7"/>
      <w:lvlJc w:val="left"/>
      <w:pPr>
        <w:tabs>
          <w:tab w:val="num" w:pos="0"/>
        </w:tabs>
        <w:ind w:left="1296" w:hanging="1296"/>
      </w:pPr>
      <w:rPr>
        <w:rFonts w:hint="eastAsia"/>
      </w:rPr>
    </w:lvl>
    <w:lvl w:ilvl="7">
      <w:start w:val="1"/>
      <w:numFmt w:val="decimal"/>
      <w:lvlText w:val="%1.%2.%3.%4.%5.%6.%7.%8"/>
      <w:lvlJc w:val="left"/>
      <w:pPr>
        <w:tabs>
          <w:tab w:val="num" w:pos="0"/>
        </w:tabs>
        <w:ind w:left="1440" w:hanging="1440"/>
      </w:pPr>
      <w:rPr>
        <w:rFonts w:ascii="Times New Roman" w:hAnsi="Times New Roman" w:cs="Times New Roman" w:hint="default"/>
      </w:rPr>
    </w:lvl>
    <w:lvl w:ilvl="8">
      <w:start w:val="1"/>
      <w:numFmt w:val="decimal"/>
      <w:lvlText w:val="%1.%2.%3.%4.%5.%6.%7.%8.%9"/>
      <w:lvlJc w:val="left"/>
      <w:pPr>
        <w:tabs>
          <w:tab w:val="num" w:pos="0"/>
        </w:tabs>
        <w:ind w:left="1584" w:hanging="1584"/>
      </w:pPr>
      <w:rPr>
        <w:rFonts w:ascii="Times New Roman" w:hAnsi="Times New Roman" w:cs="Times New Roman" w:hint="default"/>
      </w:rPr>
    </w:lvl>
  </w:abstractNum>
  <w:abstractNum w:abstractNumId="2">
    <w:nsid w:val="86F41232"/>
    <w:multiLevelType w:val="multilevel"/>
    <w:tmpl w:val="86F41232"/>
    <w:lvl w:ilvl="0">
      <w:start w:val="1"/>
      <w:numFmt w:val="decimal"/>
      <w:lvlRestart w:val="0"/>
      <w:pStyle w:val="88"/>
      <w:suff w:val="nothing"/>
      <w:lvlText w:val="表%1　"/>
      <w:lvlJc w:val="center"/>
      <w:pPr>
        <w:tabs>
          <w:tab w:val="num" w:pos="0"/>
        </w:tabs>
        <w:ind w:left="100" w:hanging="0"/>
      </w:pPr>
      <w:rPr>
        <w:rFonts w:ascii="仿宋" w:hAnsi="仿宋" w:eastAsia="仿宋" w:cs="仿宋" w:hint="default"/>
        <w:b w:val="0"/>
        <w:i w:val="0"/>
        <w:sz w:val="28"/>
        <w:szCs w:val="28"/>
      </w:rPr>
    </w:lvl>
    <w:lvl w:ilvl="1">
      <w:start w:val="1"/>
      <w:numFmt w:val="decimal"/>
      <w:lvlText w:val="%1.%2"/>
      <w:lvlJc w:val="left"/>
      <w:pPr>
        <w:tabs>
          <w:tab w:val="num" w:pos="0"/>
        </w:tabs>
        <w:ind w:left="992" w:hanging="567"/>
      </w:pPr>
      <w:rPr>
        <w:rFonts w:hint="eastAsia"/>
      </w:rPr>
    </w:lvl>
    <w:lvl w:ilvl="2">
      <w:start w:val="1"/>
      <w:numFmt w:val="decimal"/>
      <w:lvlText w:val="%1.%2.%3"/>
      <w:lvlJc w:val="left"/>
      <w:pPr>
        <w:tabs>
          <w:tab w:val="num" w:pos="0"/>
        </w:tabs>
        <w:ind w:left="1418" w:hanging="567"/>
      </w:pPr>
      <w:rPr>
        <w:rFonts w:hint="eastAsia"/>
      </w:rPr>
    </w:lvl>
    <w:lvl w:ilvl="3">
      <w:start w:val="1"/>
      <w:numFmt w:val="decimal"/>
      <w:pStyle w:val="94"/>
      <w:lvlText w:val="%1.%2.%3.%4"/>
      <w:lvlJc w:val="left"/>
      <w:pPr>
        <w:tabs>
          <w:tab w:val="num" w:pos="0"/>
        </w:tabs>
        <w:ind w:left="1984" w:hanging="708"/>
      </w:pPr>
      <w:rPr>
        <w:rFonts w:hint="eastAsia"/>
      </w:rPr>
    </w:lvl>
    <w:lvl w:ilvl="4">
      <w:start w:val="1"/>
      <w:numFmt w:val="decimal"/>
      <w:lvlText w:val="%1.%2.%3.%4.%5"/>
      <w:lvlJc w:val="left"/>
      <w:pPr>
        <w:tabs>
          <w:tab w:val="num" w:pos="0"/>
        </w:tabs>
        <w:ind w:left="2551" w:hanging="850"/>
      </w:pPr>
      <w:rPr>
        <w:rFonts w:hint="eastAsia"/>
      </w:rPr>
    </w:lvl>
    <w:lvl w:ilvl="5">
      <w:start w:val="1"/>
      <w:numFmt w:val="decimal"/>
      <w:lvlText w:val="%1.%2.%3.%4.%5.%6"/>
      <w:lvlJc w:val="left"/>
      <w:pPr>
        <w:tabs>
          <w:tab w:val="num" w:pos="0"/>
        </w:tabs>
        <w:ind w:left="3260" w:hanging="1134"/>
      </w:pPr>
      <w:rPr>
        <w:rFonts w:hint="eastAsia"/>
      </w:rPr>
    </w:lvl>
    <w:lvl w:ilvl="6">
      <w:start w:val="1"/>
      <w:numFmt w:val="decimal"/>
      <w:lvlText w:val="%1.%2.%3.%4.%5.%6.%7"/>
      <w:lvlJc w:val="left"/>
      <w:pPr>
        <w:tabs>
          <w:tab w:val="num" w:pos="0"/>
        </w:tabs>
        <w:ind w:left="3827" w:hanging="1276"/>
      </w:pPr>
      <w:rPr>
        <w:rFonts w:hint="eastAsia"/>
      </w:rPr>
    </w:lvl>
    <w:lvl w:ilvl="7">
      <w:start w:val="1"/>
      <w:numFmt w:val="decimal"/>
      <w:lvlText w:val="%1.%2.%3.%4.%5.%6.%7.%8"/>
      <w:lvlJc w:val="left"/>
      <w:pPr>
        <w:tabs>
          <w:tab w:val="num" w:pos="0"/>
        </w:tabs>
        <w:ind w:left="4394" w:hanging="1418"/>
      </w:pPr>
      <w:rPr>
        <w:rFonts w:hint="eastAsia"/>
      </w:rPr>
    </w:lvl>
    <w:lvl w:ilvl="8">
      <w:start w:val="1"/>
      <w:numFmt w:val="decimal"/>
      <w:lvlText w:val="%1.%2.%3.%4.%5.%6.%7.%8.%9"/>
      <w:lvlJc w:val="left"/>
      <w:pPr>
        <w:tabs>
          <w:tab w:val="num" w:pos="0"/>
        </w:tabs>
        <w:ind w:left="5102" w:hanging="1700"/>
      </w:pPr>
      <w:rPr>
        <w:rFonts w:hint="eastAsia"/>
      </w:rPr>
    </w:lvl>
  </w:abstractNum>
  <w:abstractNum w:abstractNumId="3">
    <w:nsid w:val="1FC91163"/>
    <w:multiLevelType w:val="multilevel"/>
    <w:tmpl w:val="1FC91163"/>
    <w:lvl w:ilvl="0">
      <w:start w:val="1"/>
      <w:numFmt w:val="decimal"/>
      <w:lvlRestart w:val="0"/>
      <w:suff w:val="nothing"/>
      <w:lvlText w:val="%1　"/>
      <w:lvlJc w:val="left"/>
      <w:pPr>
        <w:tabs>
          <w:tab w:val="num" w:pos="0"/>
        </w:tabs>
        <w:ind w:left="0" w:hanging="0"/>
      </w:pPr>
      <w:rPr>
        <w:rFonts w:ascii="黑体" w:hAnsi="黑体" w:eastAsia="黑体" w:hint="eastAsia"/>
        <w:b w:val="0"/>
        <w:i w:val="0"/>
        <w:sz w:val="21"/>
        <w:szCs w:val="21"/>
      </w:rPr>
    </w:lvl>
    <w:lvl w:ilvl="1">
      <w:start w:val="1"/>
      <w:numFmt w:val="decimal"/>
      <w:pStyle w:val="90"/>
      <w:suff w:val="nothing"/>
      <w:lvlText w:val="%1.%2　"/>
      <w:lvlJc w:val="left"/>
      <w:pPr>
        <w:tabs>
          <w:tab w:val="num" w:pos="0"/>
        </w:tabs>
        <w:ind w:left="0" w:hanging="0"/>
      </w:pPr>
      <w:rPr>
        <w:rFonts w:ascii="黑体" w:hAnsi="黑体" w:eastAsia="黑体" w:cs="Times New Roman" w:hint="eastAsia"/>
        <w:b w:val="0"/>
        <w:bCs w:val="0"/>
        <w:i w:val="0"/>
        <w:iCs w:val="0"/>
        <w:caps w:val="0"/>
        <w:smallCaps w:val="0"/>
        <w:strike w:val="0"/>
        <w:dstrike w:val="0"/>
        <w:vanish w:val="0"/>
        <w:color w:val="000000"/>
        <w:spacing w:val="0"/>
        <w:kern w:val="0"/>
        <w:position w:val="0"/>
        <w:sz w:val="21"/>
        <w:szCs w:val="21"/>
        <w:u w:val="none"/>
        <w:vertAlign w:val="baseline"/>
      </w:rPr>
    </w:lvl>
    <w:lvl w:ilvl="2">
      <w:start w:val="1"/>
      <w:numFmt w:val="decimal"/>
      <w:pStyle w:val="91"/>
      <w:suff w:val="nothing"/>
      <w:lvlText w:val="%1.%2.%3　"/>
      <w:lvlJc w:val="left"/>
      <w:pPr>
        <w:tabs>
          <w:tab w:val="num" w:pos="0"/>
        </w:tabs>
        <w:ind w:left="850" w:hanging="0"/>
      </w:pPr>
      <w:rPr>
        <w:rFonts w:ascii="黑体" w:hAnsi="黑体" w:eastAsia="黑体" w:hint="eastAsia"/>
        <w:b w:val="0"/>
        <w:i w:val="0"/>
        <w:color w:val="000000"/>
        <w:sz w:val="21"/>
      </w:rPr>
    </w:lvl>
    <w:lvl w:ilvl="3">
      <w:start w:val="1"/>
      <w:numFmt w:val="decimal"/>
      <w:pStyle w:val="93"/>
      <w:suff w:val="nothing"/>
      <w:lvlText w:val="%1.%2.%3.%4　"/>
      <w:lvlJc w:val="left"/>
      <w:pPr>
        <w:tabs>
          <w:tab w:val="num" w:pos="0"/>
        </w:tabs>
        <w:ind w:left="0" w:hanging="0"/>
      </w:pPr>
      <w:rPr>
        <w:rFonts w:ascii="黑体" w:hAnsi="黑体" w:eastAsia="黑体" w:hint="eastAsia"/>
        <w:b w:val="0"/>
        <w:i w:val="0"/>
        <w:sz w:val="21"/>
      </w:rPr>
    </w:lvl>
    <w:lvl w:ilvl="4">
      <w:start w:val="1"/>
      <w:numFmt w:val="decimal"/>
      <w:suff w:val="nothing"/>
      <w:lvlText w:val="%1.%2.%3.%4.%5　"/>
      <w:lvlJc w:val="left"/>
      <w:pPr>
        <w:tabs>
          <w:tab w:val="num" w:pos="0"/>
        </w:tabs>
        <w:ind w:left="0" w:hanging="0"/>
      </w:pPr>
      <w:rPr>
        <w:rFonts w:ascii="黑体" w:hAnsi="黑体" w:eastAsia="黑体" w:hint="eastAsia"/>
        <w:b w:val="0"/>
        <w:i w:val="0"/>
        <w:sz w:val="21"/>
      </w:rPr>
    </w:lvl>
    <w:lvl w:ilvl="5">
      <w:start w:val="1"/>
      <w:numFmt w:val="decimal"/>
      <w:suff w:val="nothing"/>
      <w:lvlText w:val="%1.%2.%3.%4.%5.%6　"/>
      <w:lvlJc w:val="left"/>
      <w:pPr>
        <w:tabs>
          <w:tab w:val="num" w:pos="0"/>
        </w:tabs>
        <w:ind w:left="0" w:hanging="0"/>
      </w:pPr>
      <w:rPr>
        <w:rFonts w:ascii="黑体" w:hAnsi="黑体" w:eastAsia="黑体" w:hint="eastAsia"/>
        <w:b w:val="0"/>
        <w:i w:val="0"/>
        <w:sz w:val="21"/>
      </w:rPr>
    </w:lvl>
    <w:lvl w:ilvl="6">
      <w:start w:val="1"/>
      <w:numFmt w:val="decimal"/>
      <w:suff w:val="nothing"/>
      <w:lvlText w:val="%1%2.%3.%4.%5.%6.%7　"/>
      <w:lvlJc w:val="left"/>
      <w:pPr>
        <w:tabs>
          <w:tab w:val="num" w:pos="0"/>
        </w:tabs>
        <w:ind w:left="0" w:hanging="0"/>
      </w:pPr>
      <w:rPr>
        <w:rFonts w:ascii="黑体" w:hAnsi="黑体" w:eastAsia="黑体" w:hint="eastAsia"/>
        <w:b w:val="0"/>
        <w:i w:val="0"/>
        <w:sz w:val="21"/>
      </w:rPr>
    </w:lvl>
    <w:lvl w:ilvl="7">
      <w:start w:val="1"/>
      <w:numFmt w:val="decimal"/>
      <w:lvlText w:val="%1.%2.%3.%4.%5.%6.%7.%8"/>
      <w:lvlJc w:val="left"/>
      <w:pPr>
        <w:tabs>
          <w:tab w:val="num" w:pos="0"/>
        </w:tabs>
        <w:ind w:left="3969" w:hanging="1418"/>
      </w:pPr>
      <w:rPr>
        <w:rFonts w:hint="eastAsia"/>
      </w:rPr>
    </w:lvl>
    <w:lvl w:ilvl="8">
      <w:start w:val="1"/>
      <w:numFmt w:val="decimal"/>
      <w:lvlText w:val="%1.%2.%3.%4.%5.%6.%7.%8.%9"/>
      <w:lvlJc w:val="left"/>
      <w:pPr>
        <w:tabs>
          <w:tab w:val="num" w:pos="0"/>
        </w:tabs>
        <w:ind w:left="4677" w:hanging="170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9"/>
  <w:displayHorizontalDrawingGridEvery w:val="0"/>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NzJlZTQ3M2MyOTlmMGVhNjhkZmE5ZWE1NGZmOTI0MDMifQ=="/>
    <w:docVar w:name="KSO_WPS_MARK_KEY" w:val="edd408a1-b375-4b40-a9cb-3acf64b7781a"/>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autoRedefine/>
    <w:next w:val="16"/>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autoRedefine/>
    <w:next w:val="0"/>
    <w:pPr>
      <w:keepNext/>
      <w:keepLines/>
      <w:widowControl w:val="0"/>
      <w:spacing w:before="340" w:after="330" w:line="578" w:lineRule="auto"/>
      <w:outlineLvl w:val="0"/>
    </w:pPr>
    <w:rPr>
      <w:b/>
      <w:bCs/>
      <w:kern w:val="44"/>
      <w:sz w:val="44"/>
      <w:szCs w:val="44"/>
    </w:rPr>
  </w:style>
  <w:style w:type="paragraph" w:styleId="2">
    <w:name w:val="heading 2"/>
    <w:basedOn w:val="0"/>
    <w:autoRedefine/>
    <w:next w:val="0"/>
    <w:pPr>
      <w:keepNext/>
      <w:keepLines/>
      <w:widowControl w:val="0"/>
      <w:spacing w:before="260" w:after="260" w:line="415" w:lineRule="auto"/>
      <w:outlineLvl w:val="1"/>
    </w:pPr>
    <w:rPr>
      <w:rFonts w:ascii="Arial" w:eastAsia="黑体" w:hAnsi="Arial"/>
      <w:b/>
      <w:bCs/>
      <w:sz w:val="32"/>
      <w:szCs w:val="32"/>
    </w:rPr>
  </w:style>
  <w:style w:type="paragraph" w:styleId="3">
    <w:name w:val="heading 3"/>
    <w:basedOn w:val="2"/>
    <w:autoRedefine/>
    <w:next w:val="0"/>
    <w:pPr>
      <w:outlineLvl w:val="2"/>
    </w:pPr>
    <w:rPr>
      <w:b w:val="0"/>
      <w:bCs w:val="0"/>
    </w:rPr>
  </w:style>
  <w:style w:type="paragraph" w:styleId="4">
    <w:name w:val="heading 4"/>
    <w:basedOn w:val="0"/>
    <w:autoRedefine/>
    <w:next w:val="0"/>
    <w:pPr>
      <w:keepNext/>
      <w:widowControl w:val="0"/>
      <w:jc w:val="center"/>
      <w:outlineLvl w:val="3"/>
    </w:pPr>
    <w:rPr>
      <w:rFonts w:eastAsia="新宋体"/>
      <w:sz w:val="30"/>
      <w:szCs w:val="21"/>
    </w:rPr>
  </w:style>
  <w:style w:type="character" w:default="1" w:styleId="10">
    <w:name w:val="Default Paragraph Font"/>
    <w:autoRedefine/>
  </w:style>
  <w:style w:type="paragraph" w:customStyle="1" w:styleId="15">
    <w:name w:val="正文文本11"/>
    <w:basedOn w:val="0"/>
    <w:autoRedefine/>
    <w:next w:val="0"/>
    <w:rPr>
      <w:rFonts w:ascii="仿宋_GB2312" w:eastAsia="仿宋_GB2312"/>
      <w:sz w:val="24"/>
    </w:rPr>
  </w:style>
  <w:style w:type="paragraph" w:customStyle="1" w:styleId="16">
    <w:name w:val="正文首行缩进1"/>
    <w:basedOn w:val="15"/>
    <w:autoRedefine/>
    <w:pPr>
      <w:spacing w:after="120"/>
      <w:ind w:firstLine="100"/>
    </w:pPr>
    <w:rPr>
      <w:rFonts w:ascii="Times New Roman" w:eastAsia="宋体" w:hAnsi="Times New Roman"/>
      <w:szCs w:val="24"/>
    </w:rPr>
  </w:style>
  <w:style w:type="paragraph" w:styleId="17">
    <w:name w:val="Normal Indent"/>
    <w:basedOn w:val="0"/>
    <w:autoRedefine/>
    <w:pPr>
      <w:ind w:firstLine="420"/>
    </w:pPr>
    <w:rPr>
      <w:szCs w:val="20"/>
    </w:rPr>
  </w:style>
  <w:style w:type="paragraph" w:styleId="18">
    <w:name w:val="Document Map"/>
    <w:basedOn w:val="0"/>
    <w:autoRedefine/>
    <w:pPr>
      <w:shd w:val="clear" w:color="auto" w:fill="000080"/>
    </w:pPr>
  </w:style>
  <w:style w:type="paragraph" w:styleId="19">
    <w:name w:val="toa heading"/>
    <w:basedOn w:val="0"/>
    <w:autoRedefine/>
    <w:next w:val="0"/>
    <w:pPr>
      <w:adjustRightInd w:val="0"/>
      <w:spacing w:line="360" w:lineRule="atLeast"/>
      <w:jc w:val="center"/>
      <w:textAlignment w:val="baseline"/>
    </w:pPr>
    <w:rPr>
      <w:rFonts w:ascii="Arial" w:eastAsia="黑体" w:hAnsi="Arial"/>
      <w:kern w:val="0"/>
      <w:sz w:val="36"/>
      <w:szCs w:val="20"/>
    </w:rPr>
  </w:style>
  <w:style w:type="paragraph" w:styleId="20">
    <w:name w:val="annotation text"/>
    <w:basedOn w:val="0"/>
    <w:autoRedefine/>
    <w:pPr>
      <w:jc w:val="left"/>
    </w:pPr>
  </w:style>
  <w:style w:type="paragraph" w:styleId="21">
    <w:name w:val="Body Text"/>
    <w:basedOn w:val="0"/>
    <w:autoRedefine/>
    <w:pPr>
      <w:spacing w:line="400" w:lineRule="exact"/>
    </w:pPr>
    <w:rPr>
      <w:rFonts w:ascii="楷体_GB2312" w:hAnsi="楷体_GB2312"/>
      <w:sz w:val="28"/>
    </w:rPr>
  </w:style>
  <w:style w:type="paragraph" w:styleId="22">
    <w:name w:val="Body Text Indent"/>
    <w:basedOn w:val="0"/>
    <w:autoRedefine/>
    <w:next w:val="23"/>
    <w:pPr>
      <w:spacing w:after="120"/>
      <w:ind w:leftChars="200" w:left="200"/>
    </w:pPr>
  </w:style>
  <w:style w:type="paragraph" w:styleId="23">
    <w:name w:val="envelope return"/>
    <w:basedOn w:val="0"/>
    <w:autoRedefine/>
    <w:pPr>
      <w:snapToGrid w:val="0"/>
    </w:pPr>
    <w:rPr>
      <w:rFonts w:ascii="Arial" w:hAnsi="Arial"/>
    </w:rPr>
  </w:style>
  <w:style w:type="paragraph" w:styleId="24">
    <w:name w:val="Block Text"/>
    <w:basedOn w:val="0"/>
    <w:autoRedefine/>
    <w:next w:val="21"/>
    <w:pPr>
      <w:ind w:leftChars="700" w:left="700" w:rightChars="700" w:right="700"/>
    </w:pPr>
    <w:rPr>
      <w:color w:val="FF0000"/>
      <w:sz w:val="18"/>
    </w:rPr>
  </w:style>
  <w:style w:type="paragraph" w:styleId="25">
    <w:name w:val="index 4"/>
    <w:basedOn w:val="0"/>
    <w:autoRedefine/>
    <w:next w:val="0"/>
    <w:pPr>
      <w:ind w:left="1260"/>
    </w:pPr>
  </w:style>
  <w:style w:type="paragraph" w:styleId="26">
    <w:name w:val="Plain Text"/>
    <w:basedOn w:val="0"/>
    <w:autoRedefine/>
    <w:rPr>
      <w:rFonts w:ascii="宋体"/>
      <w:szCs w:val="20"/>
    </w:rPr>
  </w:style>
  <w:style w:type="paragraph" w:styleId="27">
    <w:name w:val="Date"/>
    <w:basedOn w:val="0"/>
    <w:autoRedefine/>
    <w:next w:val="0"/>
    <w:pPr>
      <w:ind w:leftChars="2500" w:left="2500"/>
    </w:pPr>
  </w:style>
  <w:style w:type="paragraph" w:styleId="28">
    <w:name w:val="Balloon Text"/>
    <w:basedOn w:val="0"/>
    <w:autoRedefine/>
    <w:rPr>
      <w:sz w:val="18"/>
      <w:szCs w:val="18"/>
    </w:rPr>
  </w:style>
  <w:style w:type="paragraph" w:styleId="29">
    <w:name w:val="footer"/>
    <w:basedOn w:val="0"/>
    <w:autoRedefine/>
    <w:pPr>
      <w:tabs>
        <w:tab w:val="center" w:pos="4153"/>
        <w:tab w:val="right" w:pos="8306"/>
      </w:tabs>
      <w:snapToGrid w:val="0"/>
      <w:jc w:val="left"/>
    </w:pPr>
    <w:rPr>
      <w:sz w:val="18"/>
      <w:szCs w:val="18"/>
    </w:rPr>
  </w:style>
  <w:style w:type="paragraph" w:styleId="30">
    <w:name w:val="header"/>
    <w:basedOn w:val="0"/>
    <w:autoRedefine/>
    <w:pPr>
      <w:pBdr>
        <w:bottom w:val="single" w:sz="6" w:space="1" w:color="auto"/>
      </w:pBdr>
      <w:tabs>
        <w:tab w:val="center" w:pos="4153"/>
        <w:tab w:val="right" w:pos="8306"/>
      </w:tabs>
      <w:snapToGrid w:val="0"/>
      <w:jc w:val="center"/>
    </w:pPr>
    <w:rPr>
      <w:sz w:val="18"/>
      <w:szCs w:val="18"/>
    </w:rPr>
  </w:style>
  <w:style w:type="paragraph" w:styleId="31">
    <w:name w:val="toc 1"/>
    <w:basedOn w:val="0"/>
    <w:autoRedefine/>
    <w:next w:val="0"/>
    <w:pPr>
      <w:tabs>
        <w:tab w:val="right" w:leader="dot" w:pos="8296"/>
      </w:tabs>
      <w:spacing w:line="360" w:lineRule="auto"/>
    </w:pPr>
  </w:style>
  <w:style w:type="paragraph" w:styleId="32">
    <w:name w:val="Body Text Indent 3"/>
    <w:basedOn w:val="0"/>
    <w:autoRedefine/>
    <w:next w:val="19"/>
    <w:pPr>
      <w:spacing w:line="520" w:lineRule="exact"/>
      <w:ind w:firstLineChars="184" w:firstLine="184"/>
    </w:pPr>
    <w:rPr>
      <w:rFonts w:ascii="宋体"/>
      <w:b/>
      <w:spacing w:val="6"/>
      <w:sz w:val="28"/>
    </w:rPr>
  </w:style>
  <w:style w:type="paragraph" w:styleId="33">
    <w:name w:val="Normal (Web)"/>
    <w:basedOn w:val="0"/>
    <w:autoRedefine/>
    <w:pPr>
      <w:widowControl/>
      <w:spacing w:before="100" w:beforeAutospacing="1" w:after="100" w:afterAutospacing="1"/>
      <w:jc w:val="left"/>
    </w:pPr>
    <w:rPr>
      <w:rFonts w:ascii="宋体" w:cs="宋体"/>
      <w:kern w:val="0"/>
      <w:sz w:val="24"/>
    </w:rPr>
  </w:style>
  <w:style w:type="paragraph" w:styleId="34">
    <w:name w:val="Title"/>
    <w:basedOn w:val="0"/>
    <w:autoRedefine/>
    <w:next w:val="0"/>
    <w:pPr>
      <w:spacing w:before="240" w:after="60"/>
      <w:jc w:val="center"/>
      <w:outlineLvl w:val="0"/>
    </w:pPr>
    <w:rPr>
      <w:rFonts w:ascii="Cambria" w:hAnsi="Cambria"/>
      <w:b/>
      <w:bCs/>
      <w:sz w:val="32"/>
      <w:szCs w:val="32"/>
    </w:rPr>
  </w:style>
  <w:style w:type="paragraph" w:styleId="35">
    <w:name w:val="annotation subject"/>
    <w:basedOn w:val="20"/>
    <w:autoRedefine/>
    <w:next w:val="20"/>
    <w:rPr>
      <w:b/>
      <w:bCs/>
    </w:rPr>
  </w:style>
  <w:style w:type="paragraph" w:styleId="36">
    <w:name w:val="Body Text First Indent"/>
    <w:basedOn w:val="21"/>
    <w:autoRedefine/>
    <w:pPr>
      <w:spacing w:line="360" w:lineRule="auto"/>
      <w:ind w:firstLineChars="200" w:firstLine="200"/>
    </w:pPr>
    <w:rPr>
      <w:rFonts w:ascii="仿宋_GB2312" w:eastAsia="仿宋_GB2312"/>
      <w:kern w:val="0"/>
      <w:sz w:val="30"/>
      <w:szCs w:val="30"/>
    </w:rPr>
  </w:style>
  <w:style w:type="paragraph" w:styleId="37">
    <w:name w:val="Body Text First Indent 2"/>
    <w:basedOn w:val="22"/>
    <w:autoRedefine/>
    <w:pPr>
      <w:ind w:firstLineChars="200" w:firstLine="200"/>
    </w:pPr>
  </w:style>
  <w:style w:type="character" w:styleId="38">
    <w:name w:val="Strong"/>
    <w:autoRedefine/>
    <w:rPr>
      <w:b/>
      <w:bCs/>
    </w:rPr>
  </w:style>
  <w:style w:type="character" w:styleId="39">
    <w:name w:val="page number"/>
    <w:autoRedefine/>
  </w:style>
  <w:style w:type="character" w:styleId="40">
    <w:name w:val="FollowedHyperlink"/>
    <w:autoRedefine/>
    <w:rPr>
      <w:color w:val="800080"/>
      <w:u w:val="none"/>
    </w:rPr>
  </w:style>
  <w:style w:type="character" w:styleId="41">
    <w:name w:val="Emphasis"/>
    <w:autoRedefine/>
    <w:rPr>
      <w:b/>
      <w:bCs/>
    </w:rPr>
  </w:style>
  <w:style w:type="character" w:styleId="42">
    <w:name w:val="HTML Definition"/>
    <w:autoRedefine/>
  </w:style>
  <w:style w:type="character" w:styleId="43">
    <w:name w:val="HTML Typewriter"/>
    <w:autoRedefine/>
    <w:rPr>
      <w:rFonts w:ascii="monospace" w:eastAsia="monospace" w:cs="monospace" w:hAnsi="monospace"/>
      <w:sz w:val="20"/>
    </w:rPr>
  </w:style>
  <w:style w:type="character" w:styleId="44">
    <w:name w:val="HTML Acronym"/>
    <w:autoRedefine/>
  </w:style>
  <w:style w:type="character" w:styleId="45">
    <w:name w:val="HTML Variable"/>
    <w:autoRedefine/>
  </w:style>
  <w:style w:type="character" w:styleId="46">
    <w:name w:val="Hyperlink"/>
    <w:autoRedefine/>
    <w:rPr>
      <w:color w:val="0000FF"/>
      <w:u w:val="none"/>
    </w:rPr>
  </w:style>
  <w:style w:type="character" w:styleId="47">
    <w:name w:val="HTML Code"/>
    <w:autoRedefine/>
    <w:rPr>
      <w:rFonts w:ascii="monospace" w:eastAsia="monospace" w:cs="monospace" w:hAnsi="monospace"/>
      <w:sz w:val="20"/>
    </w:rPr>
  </w:style>
  <w:style w:type="character" w:styleId="48">
    <w:name w:val="annotation reference"/>
    <w:autoRedefine/>
    <w:rPr>
      <w:sz w:val="21"/>
      <w:szCs w:val="21"/>
    </w:rPr>
  </w:style>
  <w:style w:type="character" w:styleId="49">
    <w:name w:val="HTML Cite"/>
    <w:autoRedefine/>
  </w:style>
  <w:style w:type="character" w:styleId="50">
    <w:name w:val="HTML Keyboard"/>
    <w:autoRedefine/>
    <w:rPr>
      <w:rFonts w:ascii="monospace" w:eastAsia="monospace" w:cs="monospace" w:hAnsi="monospace"/>
      <w:sz w:val="20"/>
    </w:rPr>
  </w:style>
  <w:style w:type="character" w:styleId="51">
    <w:name w:val="HTML Sample"/>
    <w:autoRedefine/>
    <w:rPr>
      <w:rFonts w:ascii="monospace" w:eastAsia="monospace" w:cs="monospace" w:hAnsi="monospace"/>
    </w:rPr>
  </w:style>
  <w:style w:type="paragraph" w:customStyle="1" w:styleId="52">
    <w:name w:val="Default"/>
    <w:basedOn w:val="0"/>
    <w:autoRedefine/>
    <w:next w:val="0"/>
    <w:pPr>
      <w:autoSpaceDE w:val="0"/>
      <w:autoSpaceDN w:val="0"/>
      <w:adjustRightInd w:val="0"/>
      <w:jc w:val="left"/>
    </w:pPr>
    <w:rPr>
      <w:rFonts w:ascii="Arial" w:eastAsia="PMingLiU" w:hAnsi="Arial"/>
      <w:kern w:val="0"/>
      <w:sz w:val="20"/>
      <w:szCs w:val="20"/>
    </w:rPr>
  </w:style>
  <w:style w:type="paragraph" w:customStyle="1" w:styleId="53">
    <w:name w:val="style4"/>
    <w:basedOn w:val="0"/>
    <w:autoRedefine/>
    <w:next w:val="54"/>
    <w:pPr>
      <w:widowControl/>
      <w:spacing w:before="280" w:after="280"/>
    </w:pPr>
    <w:rPr>
      <w:rFonts w:ascii="宋体"/>
      <w:sz w:val="18"/>
    </w:rPr>
  </w:style>
  <w:style w:type="paragraph" w:customStyle="1" w:styleId="54">
    <w:name w:val="2"/>
    <w:autoRedefine/>
    <w:next w:val="0"/>
    <w:pPr>
      <w:widowControl w:val="0"/>
      <w:jc w:val="both"/>
    </w:pPr>
    <w:rPr>
      <w:rFonts w:ascii="Times New Roman" w:eastAsia="宋体" w:cs="Times New Roman" w:hAnsi="Times New Roman"/>
      <w:sz w:val="21"/>
      <w:szCs w:val="22"/>
      <w:lang w:val="en-US" w:eastAsia="zh-CN" w:bidi="ar-SA"/>
    </w:rPr>
  </w:style>
  <w:style w:type="paragraph" w:customStyle="1" w:styleId="55">
    <w:name w:val="正文缩进2格"/>
    <w:basedOn w:val="0"/>
    <w:autoRedefine/>
    <w:pPr>
      <w:spacing w:line="600" w:lineRule="exact"/>
      <w:ind w:firstLineChars="206" w:firstLine="206"/>
    </w:pPr>
    <w:rPr>
      <w:rFonts w:ascii="仿宋_GB2312" w:eastAsia="仿宋_GB2312"/>
      <w:sz w:val="31"/>
      <w:szCs w:val="28"/>
    </w:rPr>
  </w:style>
  <w:style w:type="paragraph" w:customStyle="1" w:styleId="56">
    <w:name w:val="标题 3.1"/>
    <w:basedOn w:val="3"/>
    <w:autoRedefine/>
    <w:pPr>
      <w:tabs>
        <w:tab w:val="left" w:pos="1440"/>
        <w:tab w:val="left" w:pos="1620"/>
      </w:tabs>
      <w:spacing w:line="600" w:lineRule="exact"/>
    </w:pPr>
    <w:rPr>
      <w:rFonts w:ascii="宋体" w:hAnsi="宋体"/>
      <w:color w:val="000000"/>
    </w:rPr>
  </w:style>
  <w:style w:type="paragraph" w:customStyle="1" w:styleId="57">
    <w:name w:val="Char"/>
    <w:basedOn w:val="0"/>
    <w:autoRedefine/>
    <w:rPr>
      <w:rFonts w:ascii="Tahoma" w:hAnsi="Tahoma"/>
      <w:sz w:val="24"/>
      <w:szCs w:val="20"/>
    </w:rPr>
  </w:style>
  <w:style w:type="paragraph" w:customStyle="1" w:styleId="58">
    <w:name w:val="正文缩进4格"/>
    <w:basedOn w:val="55"/>
    <w:autoRedefine/>
    <w:pPr>
      <w:ind w:left="2" w:firstLineChars="192" w:firstLine="192"/>
    </w:pPr>
    <w:rPr>
      <w:color w:val="000000"/>
      <w:sz w:val="28"/>
    </w:rPr>
  </w:style>
  <w:style w:type="paragraph" w:customStyle="1" w:styleId="59">
    <w:name w:val="Char Char Char Char"/>
    <w:basedOn w:val="0"/>
    <w:autoRedefine/>
    <w:rPr>
      <w:rFonts w:ascii="Tahoma" w:hAnsi="Tahoma"/>
      <w:sz w:val="24"/>
      <w:szCs w:val="20"/>
    </w:rPr>
  </w:style>
  <w:style w:type="paragraph" w:customStyle="1" w:styleId="60">
    <w:name w:val="Char1"/>
    <w:basedOn w:val="0"/>
    <w:autoRedefine/>
    <w:pPr>
      <w:tabs>
        <w:tab w:val="left" w:pos="840"/>
      </w:tabs>
      <w:ind w:left="840" w:hanging="420"/>
    </w:pPr>
    <w:rPr>
      <w:sz w:val="24"/>
    </w:rPr>
  </w:style>
  <w:style w:type="paragraph" w:customStyle="1" w:styleId="61">
    <w:name w:val="Char Char1 Char Char Char Char Char Char"/>
    <w:basedOn w:val="0"/>
    <w:autoRedefine/>
    <w:pPr>
      <w:widowControl/>
      <w:spacing w:after="160" w:line="240" w:lineRule="exact"/>
      <w:jc w:val="left"/>
    </w:pPr>
    <w:rPr>
      <w:rFonts w:ascii="Verdana" w:eastAsia="仿宋_GB2312" w:hAnsi="Verdana"/>
      <w:kern w:val="0"/>
      <w:sz w:val="24"/>
      <w:szCs w:val="20"/>
    </w:rPr>
  </w:style>
  <w:style w:type="paragraph" w:customStyle="1" w:styleId="62">
    <w:name w:val="msonormalcxspmiddle"/>
    <w:basedOn w:val="0"/>
    <w:autoRedefine/>
    <w:pPr>
      <w:widowControl/>
      <w:spacing w:before="100" w:beforeAutospacing="1" w:after="100" w:afterAutospacing="1"/>
      <w:jc w:val="left"/>
    </w:pPr>
    <w:rPr>
      <w:rFonts w:ascii="宋体" w:cs="宋体"/>
      <w:kern w:val="0"/>
      <w:sz w:val="24"/>
    </w:rPr>
  </w:style>
  <w:style w:type="paragraph" w:customStyle="1" w:styleId="63">
    <w:name w:val="Char Char 字元 字元 字元 Char Char Char Char"/>
    <w:basedOn w:val="0"/>
    <w:autoRedefine/>
    <w:pPr>
      <w:adjustRightInd w:val="0"/>
      <w:spacing w:line="360" w:lineRule="auto"/>
    </w:pPr>
    <w:rPr>
      <w:kern w:val="0"/>
      <w:sz w:val="24"/>
      <w:szCs w:val="20"/>
    </w:rPr>
  </w:style>
  <w:style w:type="paragraph" w:customStyle="1" w:styleId="64">
    <w:name w:val="para"/>
    <w:basedOn w:val="0"/>
    <w:autoRedefine/>
    <w:pPr>
      <w:widowControl/>
      <w:spacing w:before="100" w:beforeAutospacing="1" w:after="100" w:afterAutospacing="1"/>
      <w:jc w:val="left"/>
    </w:pPr>
    <w:rPr>
      <w:rFonts w:ascii="Arial" w:cs="Arial" w:hAnsi="Arial"/>
      <w:kern w:val="0"/>
      <w:sz w:val="18"/>
      <w:szCs w:val="18"/>
    </w:rPr>
  </w:style>
  <w:style w:type="paragraph" w:customStyle="1" w:styleId="65">
    <w:name w:val="Char2"/>
    <w:basedOn w:val="0"/>
    <w:autoRedefine/>
    <w:rPr>
      <w:rFonts w:ascii="Tahoma" w:hAnsi="Tahoma"/>
      <w:sz w:val="24"/>
      <w:szCs w:val="20"/>
    </w:rPr>
  </w:style>
  <w:style w:type="paragraph" w:customStyle="1" w:styleId="66">
    <w:name w:val="msonormalcxsplast"/>
    <w:basedOn w:val="0"/>
    <w:autoRedefine/>
    <w:pPr>
      <w:widowControl/>
      <w:spacing w:before="100" w:beforeAutospacing="1" w:after="100" w:afterAutospacing="1"/>
      <w:jc w:val="left"/>
    </w:pPr>
    <w:rPr>
      <w:rFonts w:ascii="宋体" w:cs="宋体"/>
      <w:kern w:val="0"/>
      <w:sz w:val="24"/>
    </w:rPr>
  </w:style>
  <w:style w:type="paragraph" w:customStyle="1" w:styleId="67">
    <w:name w:val="普通正文"/>
    <w:basedOn w:val="0"/>
    <w:autoRedefine/>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68">
    <w:name w:val="mini-outputtext1"/>
    <w:autoRedefine/>
  </w:style>
  <w:style w:type="character" w:customStyle="1" w:styleId="69">
    <w:name w:val="font31"/>
    <w:autoRedefine/>
    <w:rPr>
      <w:rFonts w:ascii="宋体" w:eastAsia="宋体" w:cs="宋体"/>
      <w:color w:val="000000"/>
      <w:sz w:val="21"/>
      <w:szCs w:val="21"/>
      <w:u w:val="none"/>
    </w:rPr>
  </w:style>
  <w:style w:type="character" w:customStyle="1" w:styleId="70">
    <w:name w:val="font61"/>
    <w:autoRedefine/>
    <w:rPr>
      <w:rFonts w:ascii="Times New Roman" w:cs="Times New Roman" w:hAnsi="Times New Roman"/>
      <w:color w:val="000000"/>
      <w:sz w:val="21"/>
      <w:szCs w:val="21"/>
      <w:u w:val="none"/>
    </w:rPr>
  </w:style>
  <w:style w:type="character" w:customStyle="1" w:styleId="71">
    <w:name w:val="font01"/>
    <w:autoRedefine/>
    <w:rPr>
      <w:rFonts w:ascii="等线" w:eastAsia="等线" w:cs="等线"/>
      <w:color w:val="000000"/>
      <w:sz w:val="22"/>
      <w:szCs w:val="22"/>
      <w:u w:val="none"/>
    </w:rPr>
  </w:style>
  <w:style w:type="character" w:customStyle="1" w:styleId="72">
    <w:name w:val="font51"/>
    <w:autoRedefine/>
    <w:rPr>
      <w:rFonts w:ascii="等线" w:eastAsia="等线" w:cs="等线"/>
      <w:b/>
      <w:bCs/>
      <w:color w:val="000000"/>
      <w:sz w:val="22"/>
      <w:szCs w:val="22"/>
      <w:u w:val="none"/>
    </w:rPr>
  </w:style>
  <w:style w:type="paragraph" w:customStyle="1" w:styleId="73">
    <w:name w:val="普通(网站) Char"/>
    <w:basedOn w:val="0"/>
    <w:autoRedefine/>
    <w:pPr>
      <w:widowControl/>
      <w:spacing w:before="100" w:beforeAutospacing="1" w:after="100" w:afterAutospacing="1"/>
      <w:jc w:val="left"/>
    </w:pPr>
    <w:rPr>
      <w:rFonts w:ascii="宋体"/>
      <w:kern w:val="0"/>
      <w:sz w:val="24"/>
    </w:rPr>
  </w:style>
  <w:style w:type="paragraph" w:customStyle="1" w:styleId="74">
    <w:name w:val="sh1"/>
    <w:basedOn w:val="34"/>
    <w:autoRedefine/>
    <w:pPr>
      <w:adjustRightInd w:val="0"/>
      <w:spacing w:before="0"/>
    </w:pPr>
    <w:rPr>
      <w:rFonts w:ascii="Arial" w:hAnsi="Arial"/>
      <w:bCs w:val="0"/>
    </w:rPr>
  </w:style>
  <w:style w:type="paragraph" w:customStyle="1" w:styleId="75">
    <w:name w:val="无间隔1"/>
    <w:autoRedefine/>
    <w:pPr>
      <w:widowControl w:val="0"/>
      <w:spacing w:line="300" w:lineRule="auto"/>
    </w:pPr>
    <w:rPr>
      <w:rFonts w:ascii="Times New Roman" w:eastAsia="华文仿宋" w:cs="Times New Roman" w:hAnsi="Times New Roman"/>
      <w:kern w:val="2"/>
      <w:sz w:val="24"/>
      <w:szCs w:val="21"/>
      <w:lang w:val="en-US" w:eastAsia="zh-CN" w:bidi="ar-SA"/>
    </w:rPr>
  </w:style>
  <w:style w:type="paragraph" w:customStyle="1" w:styleId="76">
    <w:name w:val="正文1"/>
    <w:basedOn w:val="0"/>
    <w:autoRedefine/>
    <w:pPr>
      <w:spacing w:line="360" w:lineRule="auto"/>
      <w:ind w:firstLine="361"/>
    </w:pPr>
    <w:rPr>
      <w:rFonts w:ascii="宋体"/>
    </w:rPr>
  </w:style>
  <w:style w:type="paragraph" w:customStyle="1" w:styleId="77">
    <w:name w:val="首行缩进"/>
    <w:basedOn w:val="0"/>
    <w:autoRedefine/>
    <w:next w:val="0"/>
    <w:pPr>
      <w:ind w:firstLineChars="200" w:firstLine="200"/>
    </w:pPr>
    <w:rPr>
      <w:rFonts w:ascii="Calibri" w:hAnsi="Calibri"/>
      <w:szCs w:val="21"/>
    </w:rPr>
  </w:style>
  <w:style w:type="paragraph" w:customStyle="1" w:styleId="78">
    <w:name w:val="Table Paragraph"/>
    <w:basedOn w:val="0"/>
    <w:autoRedefine/>
    <w:rPr>
      <w:rFonts w:ascii="宋体" w:cs="宋体"/>
      <w:lang w:val="zh-CN" w:bidi="zh-CN"/>
    </w:rPr>
  </w:style>
  <w:style w:type="paragraph" w:customStyle="1" w:styleId="79">
    <w:name w:val="_Style 88"/>
    <w:autoRedefine/>
    <w:rPr>
      <w:rFonts w:ascii="Times New Roman" w:eastAsia="宋体" w:cs="Times New Roman" w:hAnsi="Times New Roman"/>
      <w:kern w:val="2"/>
      <w:sz w:val="21"/>
      <w:szCs w:val="24"/>
      <w:lang w:val="en-US" w:eastAsia="zh-CN" w:bidi="ar-SA"/>
    </w:rPr>
  </w:style>
  <w:style w:type="paragraph" w:styleId="80">
    <w:name w:val="List Paragraph"/>
    <w:basedOn w:val="0"/>
    <w:autoRedefine/>
    <w:pPr>
      <w:ind w:firstLineChars="200" w:firstLine="200"/>
    </w:pPr>
  </w:style>
  <w:style w:type="paragraph" w:customStyle="1" w:styleId="81">
    <w:name w:val="Table Text"/>
    <w:basedOn w:val="0"/>
    <w:autoRedefine/>
    <w:rPr>
      <w:rFonts w:ascii="宋体" w:cs="宋体"/>
      <w:sz w:val="19"/>
      <w:szCs w:val="19"/>
    </w:rPr>
  </w:style>
  <w:style w:type="paragraph" w:customStyle="1" w:styleId="82">
    <w:name w:val="*正文"/>
    <w:basedOn w:val="0"/>
    <w:autoRedefine/>
    <w:pPr>
      <w:spacing w:line="360" w:lineRule="auto"/>
    </w:pPr>
    <w:rPr>
      <w:sz w:val="24"/>
    </w:rPr>
  </w:style>
  <w:style w:type="paragraph" w:customStyle="1" w:styleId="83">
    <w:name w:val="2 级标题"/>
    <w:autoRedefine/>
    <w:pPr>
      <w:keepNext/>
      <w:keepLines/>
      <w:widowControl w:val="0"/>
      <w:numPr>
        <w:ilvl w:val="1"/>
        <w:numId w:val="2"/>
      </w:numPr>
      <w:tabs>
        <w:tab w:val="left" w:pos="567"/>
      </w:tabs>
      <w:spacing w:before="120" w:after="120" w:line="360" w:lineRule="auto"/>
      <w:ind w:rightChars="13" w:right="13"/>
      <w:outlineLvl w:val="1"/>
    </w:pPr>
    <w:rPr>
      <w:rFonts w:ascii="Arial" w:eastAsia="黑体" w:cs="Times New Roman" w:hAnsi="Arial"/>
      <w:b/>
      <w:bCs/>
      <w:kern w:val="2"/>
      <w:sz w:val="32"/>
      <w:szCs w:val="32"/>
      <w:lang w:val="en-US" w:eastAsia="zh-CN" w:bidi="ar-SA"/>
    </w:rPr>
  </w:style>
  <w:style w:type="paragraph" w:customStyle="1" w:styleId="84">
    <w:name w:val="列出段落1"/>
    <w:basedOn w:val="0"/>
    <w:autoRedefine/>
    <w:pPr>
      <w:widowControl/>
      <w:ind w:left="720"/>
      <w:contextualSpacing/>
      <w:jc w:val="left"/>
    </w:pPr>
    <w:rPr>
      <w:kern w:val="0"/>
      <w:sz w:val="24"/>
      <w:lang w:bidi="en-US"/>
    </w:rPr>
  </w:style>
  <w:style w:type="paragraph" w:customStyle="1" w:styleId="85">
    <w:name w:val="正文（缩进）"/>
    <w:basedOn w:val="0"/>
    <w:autoRedefine/>
    <w:pPr>
      <w:spacing w:beforeLines="50" w:before="50" w:afterLines="50" w:after="50" w:line="360" w:lineRule="auto"/>
      <w:ind w:firstLineChars="200" w:firstLine="200"/>
    </w:pPr>
    <w:rPr>
      <w:sz w:val="24"/>
    </w:rPr>
  </w:style>
  <w:style w:type="paragraph" w:customStyle="1" w:styleId="86">
    <w:name w:val="样式 正文（缩进） + (中文) 楷体_GB2312"/>
    <w:basedOn w:val="85"/>
    <w:autoRedefine/>
    <w:pPr>
      <w:ind w:leftChars="-1" w:left="-1" w:firstLineChars="0" w:firstLine="567"/>
      <w:jc w:val="left"/>
    </w:pPr>
    <w:rPr>
      <w:rFonts w:eastAsia="楷体_GB2312"/>
      <w:sz w:val="28"/>
      <w:szCs w:val="28"/>
    </w:rPr>
  </w:style>
  <w:style w:type="paragraph" w:customStyle="1" w:styleId="87">
    <w:name w:val="样式 样式 样式 样式 首行缩进:  2 字符 + 首行缩进:  2 字符2 + 首行缩进:  2 字符 + 楷体_GB2312"/>
    <w:basedOn w:val="0"/>
    <w:autoRedefine/>
    <w:pPr>
      <w:spacing w:before="100" w:after="100" w:line="360" w:lineRule="auto"/>
      <w:ind w:firstLineChars="200" w:firstLine="200"/>
    </w:pPr>
    <w:rPr>
      <w:rFonts w:ascii="楷体_GB2312" w:eastAsia="楷体_GB2312" w:cs="宋体"/>
      <w:sz w:val="24"/>
    </w:rPr>
  </w:style>
  <w:style w:type="paragraph" w:customStyle="1" w:styleId="88">
    <w:name w:val="正文表标题"/>
    <w:autoRedefine/>
    <w:next w:val="89"/>
    <w:pPr>
      <w:numPr>
        <w:ilvl w:val="0"/>
        <w:numId w:val="3"/>
      </w:numPr>
      <w:spacing w:beforeLines="50" w:before="50" w:afterLines="50" w:after="50"/>
      <w:jc w:val="center"/>
    </w:pPr>
    <w:rPr>
      <w:rFonts w:ascii="黑体" w:eastAsia="黑体" w:cs="Times New Roman"/>
      <w:sz w:val="21"/>
      <w:szCs w:val="20"/>
      <w:lang w:val="en-US" w:eastAsia="zh-CN" w:bidi="ar-SA"/>
    </w:rPr>
  </w:style>
  <w:style w:type="paragraph" w:customStyle="1" w:styleId="89">
    <w:name w:val="段"/>
    <w:autoRedefine/>
    <w:pPr>
      <w:tabs>
        <w:tab w:val="center" w:pos="4201"/>
        <w:tab w:val="right" w:leader="dot" w:pos="9298"/>
      </w:tabs>
      <w:autoSpaceDE w:val="0"/>
      <w:autoSpaceDN w:val="0"/>
      <w:ind w:firstLineChars="200" w:firstLine="200"/>
      <w:jc w:val="both"/>
    </w:pPr>
    <w:rPr>
      <w:rFonts w:ascii="宋体" w:eastAsia="宋体" w:cs="Times New Roman"/>
      <w:sz w:val="21"/>
      <w:szCs w:val="20"/>
      <w:lang w:val="en-US" w:eastAsia="zh-CN" w:bidi="ar-SA"/>
    </w:rPr>
  </w:style>
  <w:style w:type="paragraph" w:customStyle="1" w:styleId="90">
    <w:name w:val="一级条标题"/>
    <w:autoRedefine/>
    <w:next w:val="89"/>
    <w:pPr>
      <w:numPr>
        <w:ilvl w:val="1"/>
        <w:numId w:val="4"/>
      </w:numPr>
      <w:spacing w:beforeLines="50" w:before="50" w:afterLines="50" w:after="50"/>
      <w:outlineLvl w:val="2"/>
    </w:pPr>
    <w:rPr>
      <w:rFonts w:ascii="黑体" w:eastAsia="黑体" w:cs="Times New Roman"/>
      <w:sz w:val="21"/>
      <w:szCs w:val="21"/>
      <w:lang w:val="en-US" w:eastAsia="zh-CN" w:bidi="ar-SA"/>
    </w:rPr>
  </w:style>
  <w:style w:type="paragraph" w:customStyle="1" w:styleId="91">
    <w:name w:val="二级条标题"/>
    <w:basedOn w:val="90"/>
    <w:autoRedefine/>
    <w:next w:val="89"/>
    <w:pPr>
      <w:numPr>
        <w:ilvl w:val="2"/>
        <w:numId w:val="4"/>
      </w:numPr>
      <w:spacing w:beforeLines="0" w:before="50" w:afterLines="0" w:after="50"/>
      <w:outlineLvl w:val="3"/>
    </w:pPr>
  </w:style>
  <w:style w:type="paragraph" w:customStyle="1" w:styleId="92">
    <w:name w:val="二级无"/>
    <w:basedOn w:val="91"/>
    <w:autoRedefine/>
    <w:pPr>
      <w:spacing w:before="0" w:after="0"/>
    </w:pPr>
    <w:rPr>
      <w:rFonts w:ascii="宋体" w:eastAsia="宋体"/>
    </w:rPr>
  </w:style>
  <w:style w:type="paragraph" w:customStyle="1" w:styleId="93">
    <w:name w:val="三级条标题"/>
    <w:basedOn w:val="91"/>
    <w:autoRedefine/>
    <w:next w:val="89"/>
    <w:pPr>
      <w:numPr>
        <w:ilvl w:val="3"/>
        <w:numId w:val="4"/>
      </w:numPr>
      <w:outlineLvl w:val="4"/>
    </w:pPr>
  </w:style>
  <w:style w:type="paragraph" w:customStyle="1" w:styleId="94">
    <w:name w:val="三级无"/>
    <w:basedOn w:val="93"/>
    <w:autoRedefine/>
    <w:pPr>
      <w:numPr>
        <w:ilvl w:val="3"/>
        <w:numId w:val="3"/>
      </w:numPr>
      <w:tabs>
        <w:tab w:val="left" w:pos="1984"/>
      </w:tabs>
      <w:spacing w:before="0" w:after="0"/>
    </w:pPr>
    <w:rPr>
      <w:rFonts w:ascii="宋体" w:eastAsia="宋体"/>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image" Target="media/5.png"/><Relationship Id="rId7" Type="http://schemas.openxmlformats.org/officeDocument/2006/relationships/styles" Target="styles.xml"/><Relationship Id="rId8" Type="http://schemas.openxmlformats.org/officeDocument/2006/relationships/numbering" Target="numbering.xml"/><Relationship Id="rId9" Type="http://schemas.openxmlformats.org/officeDocument/2006/relationships/fontTable" Target="fontTable.xml"/></Relationships>
</file>

<file path=docProps/app.xml><?xml version="1.0" encoding="utf-8"?>
<Properties xmlns="http://schemas.openxmlformats.org/officeDocument/2006/extended-properties">
  <Template>Normal.eit</Template>
  <TotalTime>20</TotalTime>
  <Application>Yozo_Office27021597764231179</Application>
  <Pages>46</Pages>
  <Words>20644</Words>
  <Characters>21654</Characters>
  <Lines>1302</Lines>
  <Paragraphs>607</Paragraphs>
  <CharactersWithSpaces>22045</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title>南通市环境监测中心站火焰原子吸收光谱仪项目</dc:title>
  <dc:creator>User</dc:creator>
  <cp:lastModifiedBy>kylin</cp:lastModifiedBy>
  <cp:revision>11</cp:revision>
  <cp:lastPrinted>2024-03-06T01:11:00Z</cp:lastPrinted>
  <dcterms:created xsi:type="dcterms:W3CDTF">2023-07-27T01:54:00Z</dcterms:created>
  <dcterms:modified xsi:type="dcterms:W3CDTF">2024-08-05T09:56:42Z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2052-12.1.0.16729</vt:lpwstr>
  </property>
  <property fmtid="{D5CDD505-2E9C-101B-9397-08002B2CF9AE}" pid="3" name="ICV">
    <vt:lpwstr>1550CB4F6C7442F7BBC572A149A5CC37_13</vt:lpwstr>
  </property>
</Properties>
</file>